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正文体系及注释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一、内容规范</w:t>
      </w:r>
    </w:p>
    <w:p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行文</w:t>
      </w:r>
    </w:p>
    <w:p>
      <w:pPr>
        <w:numPr>
          <w:ilvl w:val="0"/>
          <w:numId w:val="2"/>
        </w:numPr>
        <w:ind w:left="840" w:leftChars="0"/>
        <w:rPr>
          <w:rFonts w:hint="eastAsia"/>
        </w:rPr>
      </w:pPr>
      <w:r>
        <w:rPr>
          <w:rFonts w:hint="eastAsia"/>
        </w:rPr>
        <w:t>结构的合理性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逻辑的自洽性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文句的通顺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专业问题是否有可商榷的地方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可增进处</w:t>
      </w:r>
    </w:p>
    <w:p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无</w:t>
      </w:r>
      <w:r>
        <w:rPr>
          <w:rFonts w:hint="eastAsia"/>
          <w:b/>
          <w:bCs/>
        </w:rPr>
        <w:t>政治性问题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引用外文专有名词、学术名词，请翻译成中文，文中第一次出现时附上原文即可；如使用简称，第一次出现时使用全称，并用括号说明简称，后续再出现时得直接使用简称。例如：世界贸易组织（</w:t>
      </w:r>
      <w:r>
        <w:t>World Trade Organization, WTO</w:t>
      </w:r>
      <w:r>
        <w:rPr>
          <w:rFonts w:hint="eastAsia"/>
        </w:rPr>
        <w:t>）。</w:t>
      </w:r>
    </w:p>
    <w:p>
      <w:pPr>
        <w:ind w:left="420"/>
        <w:rPr>
          <w:rFonts w:hint="eastAsia"/>
        </w:rPr>
      </w:pPr>
      <w:r>
        <w:rPr>
          <w:rFonts w:hint="eastAsia"/>
        </w:rPr>
        <w:t>外国人名如果翻译，第一次请括注原文。如果不翻译，请全书统一。外文书名一般在正文中需要翻译，后面括注原文；注释中保持原文。</w:t>
      </w:r>
    </w:p>
    <w:p>
      <w:pPr>
        <w:ind w:left="420"/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二、格式规范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（一）</w:t>
      </w:r>
      <w:r>
        <w:rPr>
          <w:rFonts w:hint="eastAsia"/>
          <w:b/>
          <w:bCs/>
        </w:rPr>
        <w:t>行文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目录和正文的题目一致，包括目录页码要与正文页码一致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上下文对同一概念的表述和使用要一致，尤其是翻译作品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上文提到，以下有几点，分述时就要有几点。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文章的层次要由大到小，不要小标题下有大标题。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“单字不成行、单行不成页”，尽量通过内容处理这样的格式问题。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（二）</w:t>
      </w:r>
      <w:r>
        <w:rPr>
          <w:rFonts w:hint="eastAsia"/>
          <w:b/>
          <w:bCs/>
        </w:rPr>
        <w:t>标点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省略号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省略号前后不应有逗号、分号；省略号后不能有句号，省略号前时候有句号根据文章意思判断，一般情况可以不用保留句号。</w:t>
      </w:r>
    </w:p>
    <w:p>
      <w:pPr>
        <w:numPr>
          <w:ilvl w:val="0"/>
          <w:numId w:val="3"/>
        </w:num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引号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如果引用全句，用冒号，句末标点在引号内；如果引用的句子或者词组等穿插在句子中，引号前的标点随句子的意思决定，句末标点在引号外。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（三）</w:t>
      </w:r>
      <w:r>
        <w:rPr>
          <w:rFonts w:hint="eastAsia"/>
          <w:b/>
          <w:bCs/>
        </w:rPr>
        <w:t>数字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/>
        </w:rPr>
        <w:t>文章中涉及的确切数一般用阿拉伯数字。比如：</w:t>
      </w:r>
      <w:r>
        <w:rPr>
          <w:rFonts w:hint="eastAsia" w:ascii="楷体_GB2312" w:eastAsia="楷体_GB2312"/>
        </w:rPr>
        <w:t>20世纪80年代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“1950年代”</w:t>
      </w:r>
      <w:r>
        <w:rPr>
          <w:rFonts w:hint="eastAsia" w:ascii="宋体"/>
        </w:rPr>
        <w:t>的用法一般不采用</w:t>
      </w:r>
    </w:p>
    <w:p>
      <w:pPr>
        <w:ind w:left="420"/>
        <w:rPr>
          <w:rFonts w:hint="eastAsia"/>
        </w:rPr>
      </w:pPr>
      <w:r>
        <w:rPr>
          <w:rFonts w:hint="eastAsia"/>
        </w:rPr>
        <w:t>约数用汉字表示。比如：</w:t>
      </w:r>
      <w:r>
        <w:rPr>
          <w:rFonts w:hint="eastAsia" w:eastAsia="楷体_GB2312"/>
        </w:rPr>
        <w:t>大约十年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/>
        </w:rPr>
        <w:t>法律条文，应该以阿拉伯数字表示，包括所引用的法条中涉及的条款。比如：</w:t>
      </w:r>
      <w:r>
        <w:rPr>
          <w:rFonts w:hint="eastAsia" w:ascii="楷体_GB2312" w:eastAsia="楷体_GB2312"/>
        </w:rPr>
        <w:t>《中华人民共和国刑法》第11条。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农历的年、月、日表示法一般用中文汉字；古代皇帝的年号数也用汉字。如：</w:t>
      </w:r>
      <w:r>
        <w:rPr>
          <w:rFonts w:hint="eastAsia" w:ascii="楷体_GB2312" w:eastAsia="楷体_GB2312"/>
        </w:rPr>
        <w:t>“光绪二十九年”等。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（四）</w:t>
      </w:r>
      <w:r>
        <w:rPr>
          <w:rFonts w:hint="eastAsia"/>
          <w:b/>
          <w:bCs/>
        </w:rPr>
        <w:t>转行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标题或是图表中的文字，如果单行无法排完，转行时要注意不要产生歧义，连接紧密的词汇不要拆开。</w:t>
      </w:r>
    </w:p>
    <w:p>
      <w:pPr>
        <w:ind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转行时，注意标点是否可以在行首与行尾使用。</w:t>
      </w:r>
    </w:p>
    <w:p>
      <w:pPr>
        <w:ind w:left="420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562" w:firstLineChars="200"/>
        <w:jc w:val="left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  <w:sz w:val="28"/>
          <w:szCs w:val="20"/>
          <w:lang w:val="en-US" w:eastAsia="zh-CN"/>
        </w:rPr>
        <w:t>排版规范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一）行距、标题、副标题、内容提要和关键词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 行间距：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1.35倍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 文章</w:t>
      </w:r>
      <w:r>
        <w:rPr>
          <w:rFonts w:hint="eastAsia"/>
          <w:b/>
          <w:sz w:val="21"/>
          <w:szCs w:val="21"/>
        </w:rPr>
        <w:t>标题：</w:t>
      </w:r>
      <w:r>
        <w:rPr>
          <w:rFonts w:hint="eastAsia"/>
          <w:sz w:val="21"/>
          <w:szCs w:val="21"/>
        </w:rPr>
        <w:t>宋体、</w:t>
      </w:r>
      <w:r>
        <w:rPr>
          <w:rFonts w:hint="eastAsia"/>
          <w:sz w:val="21"/>
          <w:szCs w:val="21"/>
          <w:u w:val="none"/>
        </w:rPr>
        <w:t>加粗</w:t>
      </w:r>
      <w:r>
        <w:rPr>
          <w:rFonts w:hint="eastAsia"/>
          <w:sz w:val="21"/>
          <w:szCs w:val="21"/>
        </w:rPr>
        <w:t>、三号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居中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3. </w:t>
      </w:r>
      <w:r>
        <w:rPr>
          <w:rFonts w:hint="eastAsia"/>
          <w:b/>
          <w:sz w:val="21"/>
          <w:szCs w:val="21"/>
        </w:rPr>
        <w:t>副标题：</w:t>
      </w:r>
      <w:r>
        <w:rPr>
          <w:rFonts w:hint="eastAsia"/>
          <w:sz w:val="21"/>
          <w:szCs w:val="21"/>
        </w:rPr>
        <w:t>宋体、</w:t>
      </w:r>
      <w:r>
        <w:rPr>
          <w:rFonts w:hint="eastAsia"/>
          <w:sz w:val="21"/>
          <w:szCs w:val="21"/>
          <w:u w:val="none"/>
        </w:rPr>
        <w:t>加粗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小三、靠右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 w:eastAsia="宋体"/>
          <w:sz w:val="21"/>
          <w:szCs w:val="21"/>
          <w:highlight w:val="yellow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yellow"/>
          <w:lang w:val="en-US" w:eastAsia="zh-CN"/>
        </w:rPr>
        <w:t>4. 作者简介</w:t>
      </w:r>
      <w:r>
        <w:rPr>
          <w:rFonts w:hint="eastAsia"/>
          <w:sz w:val="21"/>
          <w:szCs w:val="21"/>
          <w:highlight w:val="yellow"/>
          <w:lang w:val="en-US" w:eastAsia="zh-CN"/>
        </w:rPr>
        <w:t>（因匿名评审需要，请单独以WORD文档提供）：文章题目（中英文）、作者姓名、所在学校（工作单位）、专业年级（职称职务）、联系电话、电子邮箱、通讯地址、投稿类别及所属领域等详细信息。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5. </w:t>
      </w:r>
      <w:r>
        <w:rPr>
          <w:rFonts w:hint="eastAsia"/>
          <w:sz w:val="21"/>
          <w:szCs w:val="21"/>
        </w:rPr>
        <w:t>空一行写内容提要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6. [</w:t>
      </w:r>
      <w:r>
        <w:rPr>
          <w:rFonts w:hint="eastAsia"/>
          <w:b/>
          <w:sz w:val="21"/>
          <w:szCs w:val="21"/>
        </w:rPr>
        <w:t>内容提要</w:t>
      </w:r>
      <w:r>
        <w:rPr>
          <w:rFonts w:hint="eastAsia"/>
          <w:b/>
          <w:sz w:val="21"/>
          <w:szCs w:val="21"/>
          <w:lang w:val="en-US" w:eastAsia="zh-CN"/>
        </w:rPr>
        <w:t>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/>
          <w:b w:val="0"/>
          <w:bCs/>
          <w:sz w:val="21"/>
          <w:szCs w:val="21"/>
          <w:lang w:eastAsia="zh-CN"/>
        </w:rPr>
        <w:t>）“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内容提要</w:t>
      </w:r>
      <w:r>
        <w:rPr>
          <w:rFonts w:hint="eastAsia"/>
          <w:b w:val="0"/>
          <w:bCs/>
          <w:sz w:val="21"/>
          <w:szCs w:val="21"/>
          <w:lang w:eastAsia="zh-CN"/>
        </w:rPr>
        <w:t>”</w:t>
      </w:r>
      <w:r>
        <w:rPr>
          <w:rFonts w:hint="eastAsia"/>
          <w:b w:val="0"/>
          <w:bCs/>
          <w:sz w:val="21"/>
          <w:szCs w:val="21"/>
          <w:lang w:val="en-US" w:eastAsia="zh-CN"/>
        </w:rPr>
        <w:t>四个字为</w:t>
      </w:r>
      <w:r>
        <w:rPr>
          <w:rFonts w:hint="eastAsia"/>
          <w:b w:val="0"/>
          <w:bCs/>
          <w:sz w:val="21"/>
          <w:szCs w:val="21"/>
        </w:rPr>
        <w:t>黑体、小五号、不空格写内容、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内容字体为</w:t>
      </w:r>
      <w:r>
        <w:rPr>
          <w:rFonts w:hint="eastAsia"/>
          <w:b w:val="0"/>
          <w:bCs/>
          <w:sz w:val="21"/>
          <w:szCs w:val="21"/>
        </w:rPr>
        <w:t>楷体</w:t>
      </w:r>
      <w:r>
        <w:rPr>
          <w:rFonts w:hint="eastAsia"/>
          <w:b w:val="0"/>
          <w:bCs/>
          <w:sz w:val="21"/>
          <w:szCs w:val="21"/>
          <w:lang w:eastAsia="zh-CN"/>
        </w:rPr>
        <w:t>；首行缩进两字符。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/>
          <w:b w:val="0"/>
          <w:bCs/>
          <w:sz w:val="21"/>
          <w:szCs w:val="21"/>
          <w:lang w:eastAsia="zh-CN"/>
        </w:rPr>
        <w:t>）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内容中</w:t>
      </w:r>
      <w:r>
        <w:rPr>
          <w:rFonts w:hint="eastAsia"/>
          <w:b w:val="0"/>
          <w:bCs/>
          <w:sz w:val="21"/>
          <w:szCs w:val="21"/>
        </w:rPr>
        <w:t>不要出现“笔者”、“本文”、“本人”、“我”认为等主观性的字眼，且应控制在五</w:t>
      </w:r>
      <w:r>
        <w:rPr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Fonts w:hint="eastAsia"/>
          <w:b w:val="0"/>
          <w:bCs/>
          <w:sz w:val="21"/>
          <w:szCs w:val="21"/>
        </w:rPr>
        <w:t>六行以内，以五行为宜。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7. [</w:t>
      </w:r>
      <w:r>
        <w:rPr>
          <w:rFonts w:hint="eastAsia"/>
          <w:b/>
          <w:sz w:val="21"/>
          <w:szCs w:val="21"/>
        </w:rPr>
        <w:t>关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键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词</w:t>
      </w:r>
      <w:r>
        <w:rPr>
          <w:rFonts w:hint="eastAsia"/>
          <w:b/>
          <w:sz w:val="21"/>
          <w:szCs w:val="21"/>
          <w:lang w:val="en-US" w:eastAsia="zh-CN"/>
        </w:rPr>
        <w:t>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）“关键词”三个字每字</w:t>
      </w:r>
      <w:r>
        <w:rPr>
          <w:rFonts w:hint="eastAsia"/>
          <w:b/>
          <w:bCs/>
          <w:sz w:val="21"/>
          <w:szCs w:val="21"/>
          <w:lang w:eastAsia="zh-CN"/>
        </w:rPr>
        <w:t>空一格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黑体、小五号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首行缩进两字符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不空格直接写第一个关键词、楷体、各关键词中间空两格、</w:t>
      </w:r>
      <w:r>
        <w:rPr>
          <w:rFonts w:hint="eastAsia"/>
          <w:b w:val="0"/>
          <w:bCs w:val="0"/>
          <w:sz w:val="21"/>
          <w:szCs w:val="21"/>
        </w:rPr>
        <w:t>末尾无句号。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关键词</w:t>
      </w:r>
      <w:r>
        <w:rPr>
          <w:rFonts w:hint="eastAsia"/>
          <w:b/>
          <w:bCs/>
          <w:sz w:val="21"/>
          <w:szCs w:val="21"/>
        </w:rPr>
        <w:t>以三到五个为宜</w:t>
      </w:r>
      <w:r>
        <w:rPr>
          <w:rFonts w:hint="eastAsia"/>
          <w:sz w:val="21"/>
          <w:szCs w:val="21"/>
        </w:rPr>
        <w:t>，文字长度不能超过一行。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例：</w:t>
      </w:r>
    </w:p>
    <w:p>
      <w:pPr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[</w:t>
      </w:r>
      <w:r>
        <w:rPr>
          <w:rFonts w:hint="eastAsia" w:ascii="黑体" w:eastAsia="黑体"/>
          <w:color w:val="auto"/>
          <w:sz w:val="21"/>
          <w:szCs w:val="21"/>
        </w:rPr>
        <w:t>内</w:t>
      </w:r>
      <w:r>
        <w:rPr>
          <w:rFonts w:hint="eastAsia" w:ascii="黑体" w:eastAsia="黑体"/>
          <w:sz w:val="21"/>
          <w:szCs w:val="21"/>
        </w:rPr>
        <w:t>容提要</w:t>
      </w:r>
      <w:r>
        <w:rPr>
          <w:rFonts w:hint="eastAsia"/>
          <w:sz w:val="21"/>
          <w:szCs w:val="21"/>
        </w:rPr>
        <w:t>]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……</w:t>
      </w:r>
      <w:r>
        <w:rPr>
          <w:rFonts w:hint="eastAsia" w:ascii="楷体" w:hAnsi="楷体" w:eastAsia="楷体"/>
          <w:sz w:val="21"/>
          <w:szCs w:val="21"/>
        </w:rPr>
        <w:t>引发了社会各界的关注与讨论。……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[关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键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词]</w:t>
      </w:r>
      <w:r>
        <w:rPr>
          <w:rFonts w:hint="eastAsia" w:ascii="楷体" w:hAnsi="楷体" w:eastAsia="楷体"/>
          <w:sz w:val="21"/>
          <w:szCs w:val="21"/>
        </w:rPr>
        <w:t>赠与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二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  <w:lang w:val="en-US" w:eastAsia="zh-CN"/>
        </w:rPr>
        <w:t>正文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1. 关键词下</w:t>
      </w:r>
      <w:r>
        <w:rPr>
          <w:rFonts w:hint="eastAsia"/>
          <w:sz w:val="21"/>
          <w:szCs w:val="20"/>
        </w:rPr>
        <w:t>空一行写正文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default" w:eastAsia="宋体"/>
          <w:sz w:val="21"/>
          <w:szCs w:val="20"/>
          <w:lang w:val="en-US" w:eastAsia="zh-CN"/>
        </w:rPr>
      </w:pPr>
      <w:r>
        <w:rPr>
          <w:rFonts w:hint="eastAsia"/>
          <w:b w:val="0"/>
          <w:bCs/>
          <w:sz w:val="21"/>
          <w:szCs w:val="20"/>
          <w:lang w:val="en-US" w:eastAsia="zh-CN"/>
        </w:rPr>
        <w:t xml:space="preserve">2. </w:t>
      </w:r>
      <w:r>
        <w:rPr>
          <w:rFonts w:hint="eastAsia"/>
          <w:b w:val="0"/>
          <w:bCs/>
          <w:sz w:val="21"/>
          <w:szCs w:val="20"/>
        </w:rPr>
        <w:t>正文：宋体</w:t>
      </w:r>
      <w:r>
        <w:rPr>
          <w:rFonts w:hint="eastAsia"/>
          <w:b w:val="0"/>
          <w:bCs/>
          <w:sz w:val="21"/>
          <w:szCs w:val="20"/>
          <w:lang w:eastAsia="zh-CN"/>
        </w:rPr>
        <w:t>、</w:t>
      </w:r>
      <w:r>
        <w:rPr>
          <w:rFonts w:hint="eastAsia"/>
          <w:b w:val="0"/>
          <w:bCs/>
          <w:sz w:val="21"/>
          <w:szCs w:val="20"/>
        </w:rPr>
        <w:t>小五</w:t>
      </w:r>
      <w:r>
        <w:rPr>
          <w:rFonts w:hint="eastAsia"/>
          <w:sz w:val="21"/>
          <w:szCs w:val="20"/>
        </w:rPr>
        <w:t>号</w:t>
      </w:r>
      <w:r>
        <w:rPr>
          <w:rFonts w:hint="eastAsia"/>
          <w:sz w:val="21"/>
          <w:szCs w:val="20"/>
          <w:lang w:eastAsia="zh-CN"/>
        </w:rPr>
        <w:t>、</w:t>
      </w:r>
      <w:r>
        <w:rPr>
          <w:rFonts w:hint="eastAsia"/>
          <w:sz w:val="21"/>
          <w:szCs w:val="20"/>
          <w:lang w:val="en-US" w:eastAsia="zh-CN"/>
        </w:rPr>
        <w:t>两端对齐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一级标题：</w:t>
      </w:r>
      <w:r>
        <w:rPr>
          <w:rFonts w:hint="eastAsia"/>
          <w:sz w:val="21"/>
          <w:szCs w:val="20"/>
        </w:rPr>
        <w:t>“一、”、“二、”、“三、”……黑体、小五号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二级标题</w:t>
      </w:r>
      <w:r>
        <w:rPr>
          <w:rFonts w:hint="eastAsia"/>
          <w:sz w:val="21"/>
          <w:szCs w:val="20"/>
        </w:rPr>
        <w:t>：“（一）”、“（二）”、“（三）”……楷体、小五号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三级标题：</w:t>
      </w:r>
      <w:r>
        <w:rPr>
          <w:rFonts w:hint="eastAsia"/>
          <w:sz w:val="21"/>
          <w:szCs w:val="20"/>
        </w:rPr>
        <w:t>“1.”</w:t>
      </w:r>
      <w:r>
        <w:rPr>
          <w:rFonts w:hint="eastAsia"/>
          <w:sz w:val="21"/>
          <w:szCs w:val="20"/>
          <w:lang w:eastAsia="zh-CN"/>
        </w:rPr>
        <w:t>（</w:t>
      </w:r>
      <w:r>
        <w:rPr>
          <w:rFonts w:hint="eastAsia"/>
          <w:sz w:val="21"/>
          <w:szCs w:val="20"/>
          <w:lang w:val="en-US" w:eastAsia="zh-CN"/>
        </w:rPr>
        <w:t>半角模式）</w:t>
      </w:r>
      <w:r>
        <w:rPr>
          <w:rFonts w:hint="eastAsia"/>
          <w:sz w:val="21"/>
          <w:szCs w:val="20"/>
        </w:rPr>
        <w:t>、“2</w:t>
      </w:r>
      <w:r>
        <w:rPr>
          <w:rFonts w:hint="eastAsia"/>
          <w:sz w:val="21"/>
          <w:szCs w:val="20"/>
          <w:lang w:val="en-US" w:eastAsia="zh-CN"/>
        </w:rPr>
        <w:t>.</w:t>
      </w:r>
      <w:r>
        <w:rPr>
          <w:rFonts w:hint="eastAsia"/>
          <w:sz w:val="21"/>
          <w:szCs w:val="20"/>
        </w:rPr>
        <w:t>”、“3．”……宋体、小五号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四级标题</w:t>
      </w:r>
      <w:r>
        <w:rPr>
          <w:rFonts w:hint="eastAsia"/>
          <w:sz w:val="21"/>
          <w:szCs w:val="20"/>
        </w:rPr>
        <w:t>：“（1）”、“（2）”、“（3）”……宋体、小五号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 w:eastAsia="宋体"/>
          <w:sz w:val="21"/>
          <w:szCs w:val="20"/>
          <w:lang w:val="en-US" w:eastAsia="zh-CN"/>
        </w:rPr>
      </w:pPr>
      <w:r>
        <w:rPr>
          <w:rFonts w:hint="eastAsia"/>
          <w:b/>
          <w:sz w:val="21"/>
          <w:szCs w:val="22"/>
        </w:rPr>
        <w:t>五级标题：</w:t>
      </w:r>
      <w:r>
        <w:rPr>
          <w:rFonts w:hint="eastAsia"/>
          <w:sz w:val="21"/>
          <w:szCs w:val="20"/>
          <w:lang w:val="en-US" w:eastAsia="zh-CN"/>
        </w:rPr>
        <w:t>①②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200"/>
        <w:jc w:val="left"/>
        <w:textAlignment w:val="auto"/>
        <w:rPr>
          <w:rFonts w:hint="eastAsia"/>
          <w:b w:val="0"/>
          <w:bCs/>
          <w:color w:val="FF0000"/>
          <w:sz w:val="21"/>
          <w:szCs w:val="20"/>
        </w:rPr>
      </w:pPr>
      <w:r>
        <w:rPr>
          <w:rFonts w:hint="eastAsia"/>
          <w:b w:val="0"/>
          <w:bCs/>
          <w:sz w:val="21"/>
          <w:szCs w:val="20"/>
          <w:lang w:val="en-US" w:eastAsia="zh-CN"/>
        </w:rPr>
        <w:t xml:space="preserve">3. </w:t>
      </w:r>
      <w:r>
        <w:rPr>
          <w:rFonts w:hint="eastAsia"/>
          <w:b w:val="0"/>
          <w:bCs/>
          <w:sz w:val="21"/>
          <w:szCs w:val="20"/>
        </w:rPr>
        <w:t>法律法规中条款项用阿拉伯数字：第1条第1款。章用汉字：第一章</w:t>
      </w:r>
      <w:r>
        <w:rPr>
          <w:rFonts w:hint="eastAsia"/>
          <w:b w:val="0"/>
          <w:bCs/>
          <w:sz w:val="21"/>
          <w:szCs w:val="20"/>
          <w:highlight w:val="none"/>
        </w:rPr>
        <w:t>(</w:t>
      </w:r>
      <w:r>
        <w:rPr>
          <w:rFonts w:hint="eastAsia"/>
          <w:b w:val="0"/>
          <w:bCs/>
          <w:sz w:val="21"/>
          <w:szCs w:val="20"/>
        </w:rPr>
        <w:t>篇章节</w:t>
      </w:r>
      <w:r>
        <w:rPr>
          <w:rFonts w:hint="eastAsia"/>
          <w:b w:val="0"/>
          <w:bCs/>
          <w:sz w:val="21"/>
          <w:szCs w:val="20"/>
          <w:highlight w:val="none"/>
        </w:rPr>
        <w:t>)</w:t>
      </w:r>
      <w:r>
        <w:rPr>
          <w:rFonts w:hint="eastAsia"/>
          <w:b w:val="0"/>
          <w:bCs/>
          <w:sz w:val="21"/>
          <w:szCs w:val="20"/>
        </w:rPr>
        <w:t>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脚注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 xml:space="preserve">1. </w:t>
      </w:r>
      <w:r>
        <w:rPr>
          <w:rFonts w:hint="eastAsia"/>
          <w:sz w:val="22"/>
          <w:szCs w:val="21"/>
        </w:rPr>
        <w:t>脚注符号：①、②、③……</w:t>
      </w:r>
      <w:r>
        <w:rPr>
          <w:rFonts w:hint="eastAsia"/>
          <w:sz w:val="22"/>
          <w:szCs w:val="21"/>
          <w:lang w:eastAsia="zh-CN"/>
        </w:rPr>
        <w:t>；</w:t>
      </w:r>
      <w:r>
        <w:rPr>
          <w:rFonts w:hint="eastAsia"/>
          <w:sz w:val="22"/>
          <w:szCs w:val="21"/>
          <w:lang w:val="en-US" w:eastAsia="zh-CN"/>
        </w:rPr>
        <w:t>每页重新编号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 w:val="0"/>
          <w:color w:val="auto"/>
          <w:sz w:val="22"/>
          <w:szCs w:val="21"/>
        </w:rPr>
      </w:pPr>
      <w:r>
        <w:rPr>
          <w:rFonts w:hint="eastAsia"/>
          <w:sz w:val="22"/>
          <w:szCs w:val="21"/>
          <w:lang w:val="en-US" w:eastAsia="zh-CN"/>
        </w:rPr>
        <w:t xml:space="preserve">2. </w:t>
      </w:r>
      <w:r>
        <w:rPr>
          <w:rFonts w:hint="eastAsia"/>
          <w:sz w:val="22"/>
          <w:szCs w:val="21"/>
        </w:rPr>
        <w:t>脚注内容：宋体、六号，</w:t>
      </w:r>
      <w:r>
        <w:rPr>
          <w:rFonts w:hint="eastAsia"/>
          <w:b w:val="0"/>
          <w:bCs w:val="0"/>
          <w:color w:val="auto"/>
          <w:sz w:val="22"/>
          <w:szCs w:val="21"/>
        </w:rPr>
        <w:t>对齐方式：两端对齐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highlight w:val="none"/>
          <w:lang w:val="en-US" w:eastAsia="zh-CN"/>
        </w:rPr>
        <w:t>3. 脚注在正文中的位置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default"/>
          <w:b w:val="0"/>
          <w:bCs/>
          <w:color w:val="auto"/>
          <w:sz w:val="22"/>
          <w:szCs w:val="21"/>
          <w:u w:val="none"/>
          <w:lang w:val="en-US" w:eastAsia="zh-CN"/>
        </w:rPr>
      </w:pPr>
      <w:r>
        <w:rPr>
          <w:rFonts w:hint="default"/>
          <w:b w:val="0"/>
          <w:bCs/>
          <w:color w:val="auto"/>
          <w:sz w:val="22"/>
          <w:szCs w:val="21"/>
          <w:u w:val="none"/>
          <w:lang w:val="en-US" w:eastAsia="zh-CN"/>
        </w:rPr>
        <w:t>对全句的引用，引注符号置于句号、问号等标点之后。对句子部分内容的引用，引注符号置于该部分之后；对句中字词的直接引用，引注符号应当紧接引号，置于其他标点之前。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（四）图、表、语词及标点符号等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1. 表格内字体同正文（宋体小五号）。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2. 图、表的题注位置为所选项目下方，字体同正文（宋体小五号）。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3. 单书名号和尖括号不同，书名号内包含文章名、书名等应使用单书名号。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、注释</w:t>
      </w:r>
    </w:p>
    <w:p>
      <w:pPr>
        <w:ind w:firstLine="482" w:firstLineChars="200"/>
        <w:rPr>
          <w:rFonts w:hint="eastAsia"/>
          <w:b/>
          <w:bCs/>
          <w:i w:val="0"/>
          <w:iCs w:val="0"/>
          <w:sz w:val="24"/>
        </w:rPr>
      </w:pPr>
      <w:r>
        <w:rPr>
          <w:rFonts w:hint="eastAsia"/>
          <w:b/>
          <w:bCs/>
          <w:i w:val="0"/>
          <w:iCs w:val="0"/>
          <w:sz w:val="24"/>
        </w:rPr>
        <w:t>（一）一般原则</w:t>
      </w:r>
    </w:p>
    <w:p>
      <w:pPr>
        <w:ind w:firstLine="482" w:firstLineChars="200"/>
        <w:rPr>
          <w:rFonts w:hint="eastAsia"/>
          <w:b/>
          <w:bCs/>
          <w:i/>
          <w:iCs/>
          <w:sz w:val="24"/>
        </w:rPr>
      </w:pPr>
    </w:p>
    <w:p>
      <w:pPr>
        <w:numPr>
          <w:ilvl w:val="0"/>
          <w:numId w:val="4"/>
        </w:numPr>
        <w:ind w:firstLine="420" w:firstLineChars="200"/>
        <w:rPr>
          <w:rFonts w:hint="eastAsia"/>
        </w:rPr>
      </w:pPr>
      <w:r>
        <w:rPr>
          <w:rFonts w:hint="eastAsia"/>
        </w:rPr>
        <w:t>注释方式应全书保持统一。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文中引注以必要为限。引注一般应是已发表之文献。必须引注未发表文献时，应征得相关著作权人之同意。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注码的位置，应紧跟着要说明的词或句子。涉及引号时，如果引号里有句号，注码放在引号后；如果句号（或逗号）在引号外，注码放在引号和句号（或逗号）之间。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正文中出现字数较多（例如100字以上）的引文，可以将引文部分缩排两格</w:t>
      </w:r>
      <w:r>
        <w:rPr>
          <w:rFonts w:hint="eastAsia" w:ascii="宋体" w:hAnsi="宋体"/>
        </w:rPr>
        <w:t>（右齐脚）</w:t>
      </w:r>
      <w:r>
        <w:rPr>
          <w:rFonts w:hint="eastAsia" w:ascii="宋体" w:hAnsi="宋体"/>
          <w:color w:val="000000"/>
        </w:rPr>
        <w:t>，并可使用楷体或仿体字予以区分。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注释中重复引用文献、资料时，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 xml:space="preserve">若为注释中次第紧连援用同一文献、资料的情形，可使用“同上”； 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>若两个注释编号次第紧连，援用同一文献，而引征得内容不在同一页码，则使用“同上，第×页”；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>若为重复援用同一文献、资料，注释编号不相连的情形，可以使用简化的形式，只列出作者、书名、页码即可。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6. </w:t>
      </w:r>
      <w:r>
        <w:rPr>
          <w:rFonts w:hint="eastAsia" w:ascii="宋体" w:hAnsi="宋体"/>
          <w:color w:val="000000"/>
        </w:rPr>
        <w:t>引征二手文献、资料，需注明该原始文献资料的作者、标题，在其后注明“转引自”该援用的文献、资料等。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7. </w:t>
      </w:r>
      <w:r>
        <w:rPr>
          <w:rFonts w:hint="eastAsia" w:ascii="宋体" w:hAnsi="宋体"/>
          <w:color w:val="000000"/>
        </w:rPr>
        <w:t>引征信札、访谈、演讲、电影、电视、广播、录音等文献、资料等，在其后注明资料形成时间、地点或出品时间、出品机构等能显示其独立存在的特征。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8. </w:t>
      </w:r>
      <w:r>
        <w:rPr>
          <w:rFonts w:hint="eastAsia" w:ascii="宋体" w:hAnsi="宋体"/>
          <w:color w:val="000000"/>
        </w:rPr>
        <w:t>直接引征不使用引导词。间接引证应该加引导词：支持性或背景性的引用根据可使用“参见”、“例如”、“例见”、“又见”、“参照”、“一般参见”、“一般参照”等；对立性引征的引导词为“相反”、“不同的见解，参见”、“但见”等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【注：有些作者习惯使用其他的注释的形式,如“同上揭”，“同前揭”等，或者在出版单位前标注出版地等，可以根据情况予以尊重，但须注意统一。】</w:t>
      </w:r>
    </w:p>
    <w:p>
      <w:pPr>
        <w:ind w:firstLine="422" w:firstLineChars="200"/>
        <w:rPr>
          <w:rFonts w:hint="eastAsia" w:ascii="宋体" w:hAnsi="宋体"/>
          <w:b/>
          <w:bCs/>
          <w:i/>
          <w:iCs/>
          <w:color w:val="000000"/>
        </w:rPr>
      </w:pPr>
    </w:p>
    <w:p>
      <w:pPr>
        <w:ind w:firstLine="482" w:firstLineChars="200"/>
        <w:rPr>
          <w:rFonts w:hint="eastAsia"/>
          <w:b/>
          <w:bCs/>
          <w:i w:val="0"/>
          <w:iCs w:val="0"/>
          <w:sz w:val="24"/>
        </w:rPr>
      </w:pPr>
      <w:r>
        <w:rPr>
          <w:rFonts w:hint="eastAsia"/>
          <w:b/>
          <w:bCs/>
          <w:i w:val="0"/>
          <w:iCs w:val="0"/>
          <w:sz w:val="24"/>
        </w:rPr>
        <w:t>（二）具体形式</w:t>
      </w:r>
    </w:p>
    <w:p>
      <w:pPr>
        <w:ind w:firstLine="480" w:firstLineChars="200"/>
        <w:rPr>
          <w:rFonts w:hint="eastAsia" w:ascii="宋体" w:hAnsi="宋体"/>
          <w:i/>
          <w:iCs/>
          <w:color w:val="000000"/>
          <w:sz w:val="24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1．</w:t>
      </w:r>
      <w:r>
        <w:rPr>
          <w:rFonts w:hint="eastAsia" w:eastAsia="楷体_GB2312"/>
          <w:b/>
          <w:bCs/>
        </w:rPr>
        <w:t>中文作品</w:t>
      </w:r>
    </w:p>
    <w:p>
      <w:pPr>
        <w:rPr>
          <w:rFonts w:hint="eastAsia"/>
        </w:rPr>
      </w:pPr>
      <w:r>
        <w:rPr>
          <w:rFonts w:hint="eastAsia"/>
        </w:rPr>
        <w:t>（1）专著</w:t>
      </w:r>
    </w:p>
    <w:p>
      <w:pPr>
        <w:rPr>
          <w:rFonts w:hint="eastAsia"/>
        </w:rPr>
      </w:pPr>
      <w:r>
        <w:rPr>
          <w:rFonts w:hint="eastAsia"/>
        </w:rPr>
        <w:t xml:space="preserve">    作者：《书名》（卷或册或版次），出版社出版年，页码。</w:t>
      </w:r>
    </w:p>
    <w:p>
      <w:pPr>
        <w:ind w:firstLine="420" w:firstLineChars="200"/>
        <w:rPr>
          <w:rFonts w:hint="eastAsia" w:ascii="宋体" w:eastAsia="楷体_GB2312"/>
        </w:rPr>
      </w:pPr>
      <w:r>
        <w:rPr>
          <w:rFonts w:hint="eastAsia" w:ascii="仿宋_GB2312" w:eastAsia="楷体_GB2312"/>
        </w:rPr>
        <w:t>例如</w:t>
      </w:r>
      <w:r>
        <w:rPr>
          <w:rFonts w:hint="eastAsia" w:ascii="宋体" w:eastAsia="楷体_GB2312"/>
        </w:rPr>
        <w:t>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李琛：《论知识产权法的体系化》，北京大学出版社2005年版，第110页。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储怀植：《美国刑法》（第3版），北京大学出版社2005年版，第90－97页。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葛克昌、陈清秀：《税务代理与纳税人权利保护》，北京大学出版社2005年版，第30、35页。</w:t>
      </w:r>
    </w:p>
    <w:p>
      <w:pPr>
        <w:rPr>
          <w:rFonts w:hint="eastAsia"/>
        </w:rPr>
      </w:pPr>
      <w:r>
        <w:rPr>
          <w:rFonts w:hint="eastAsia"/>
        </w:rPr>
        <w:t>（2）编辑作品或编辑作品中的文章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作者及署名方式：《书名》（卷或册或版次），出版社出版年，页码。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作者：《文章名》，载编辑作品主编人：《编辑作品名称》，出版社出版年，页码。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仿宋_GB2312" w:eastAsia="仿宋_GB2312"/>
        </w:rPr>
        <w:t>例如</w:t>
      </w:r>
      <w:r>
        <w:rPr>
          <w:rFonts w:hint="eastAsia" w:ascii="楷体_GB2312" w:eastAsia="楷体_GB2312"/>
        </w:rPr>
        <w:t>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刘剑文主编：《出口退税法律问题研究》，北京大学出版社2004年版，第21页。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张建伟：《法与经济学：寻求金融法变革的理论基础》，载吴志攀、白建军主编：《金融法路径》，北京大学出版社2004年版，第31页。</w:t>
      </w:r>
    </w:p>
    <w:p>
      <w:pPr>
        <w:rPr>
          <w:rFonts w:hint="eastAsia"/>
        </w:rPr>
      </w:pPr>
      <w:r>
        <w:rPr>
          <w:rFonts w:hint="eastAsia"/>
        </w:rPr>
        <w:t>（3）译著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[国别]作者：《书名或文章名》，译者，出版社出版年，页码。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仿宋_GB2312" w:eastAsia="仿宋_GB2312"/>
        </w:rPr>
        <w:t>例如</w:t>
      </w:r>
      <w:r>
        <w:rPr>
          <w:rFonts w:hint="eastAsia" w:ascii="楷体_GB2312" w:eastAsia="楷体_GB2312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[美]兰德斯、波斯纳：《知识产权法的经济结构》，金海军译，北京大学出版社2005年版，第460页。</w:t>
      </w:r>
    </w:p>
    <w:p>
      <w:pPr>
        <w:rPr>
          <w:rFonts w:hint="eastAsia"/>
        </w:rPr>
      </w:pPr>
      <w:r>
        <w:rPr>
          <w:rFonts w:hint="eastAsia"/>
        </w:rPr>
        <w:t>（4）期刊/报纸类作品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作者：《文章名》，载《书名或杂志名》年代和期数。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刘剑文：《论避税的概念》，载《涉外税务》1999年第2期。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刘军宁：《克林顿政府经济政策》，载《人民日报》1993年3月23日第6版。</w:t>
      </w:r>
    </w:p>
    <w:p>
      <w:pPr>
        <w:rPr>
          <w:rFonts w:hint="eastAsia"/>
        </w:rPr>
      </w:pPr>
      <w:r>
        <w:rPr>
          <w:rFonts w:hint="eastAsia"/>
        </w:rPr>
        <w:t>（5）学位论文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作者：《论文名称》，学校系所和年份，页码。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王晶：《一般反避税条款之法律分析》，北京大学法学院2004年硕士论文，第19页。</w:t>
      </w:r>
    </w:p>
    <w:p>
      <w:pPr>
        <w:rPr>
          <w:rFonts w:hint="eastAsia"/>
        </w:rPr>
      </w:pPr>
      <w:r>
        <w:rPr>
          <w:rFonts w:hint="eastAsia"/>
        </w:rPr>
        <w:t>（6）学术会论文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作者：《篇名》，主办单位，“学术会议名称”，时间。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王文宇：《台湾公司法之现况与前瞻》，韩忠谟教授法学基金会，“两岸公司法制学术研讨会”，</w:t>
      </w:r>
      <w:r>
        <w:rPr>
          <w:rFonts w:ascii="楷体_GB2312" w:eastAsia="楷体_GB2312"/>
        </w:rPr>
        <w:t xml:space="preserve"> 2003</w:t>
      </w:r>
      <w:r>
        <w:rPr>
          <w:rFonts w:hint="eastAsia" w:ascii="楷体_GB2312" w:eastAsia="楷体_GB2312"/>
        </w:rPr>
        <w:t>年</w:t>
      </w:r>
      <w:r>
        <w:rPr>
          <w:rFonts w:ascii="楷体_GB2312" w:eastAsia="楷体_GB2312"/>
        </w:rPr>
        <w:t>7</w:t>
      </w:r>
      <w:r>
        <w:rPr>
          <w:rFonts w:hint="eastAsia" w:ascii="楷体_GB2312" w:eastAsia="楷体_GB2312"/>
        </w:rPr>
        <w:t>月。</w:t>
      </w:r>
    </w:p>
    <w:p>
      <w:pPr>
        <w:rPr>
          <w:rFonts w:hint="eastAsia"/>
        </w:rPr>
      </w:pPr>
      <w:r>
        <w:rPr>
          <w:rFonts w:hint="eastAsia"/>
        </w:rPr>
        <w:t>（7）法院判决、公告等</w:t>
      </w:r>
    </w:p>
    <w:p>
      <w:pPr>
        <w:ind w:firstLine="435"/>
        <w:rPr>
          <w:rFonts w:hint="eastAsia"/>
        </w:rPr>
      </w:pPr>
      <w:r>
        <w:rPr>
          <w:rFonts w:hint="eastAsia"/>
        </w:rPr>
        <w:t>《名称》，（年份）编号名称（说明：具体名称是否添加根据文中情况判断。）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（2001）海知初字第104号民事判决书。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《国家税务总局关于出口货物退（免）税若干问题的通知》，国税发（2003）139号。</w:t>
      </w:r>
    </w:p>
    <w:p>
      <w:pPr>
        <w:rPr>
          <w:rFonts w:hint="eastAsia"/>
        </w:rPr>
      </w:pPr>
      <w:r>
        <w:rPr>
          <w:rFonts w:hint="eastAsia"/>
        </w:rPr>
        <w:t>（8）网络资讯</w:t>
      </w:r>
    </w:p>
    <w:p>
      <w:pPr>
        <w:rPr>
          <w:rFonts w:hint="eastAsia"/>
        </w:rPr>
      </w:pPr>
      <w:r>
        <w:rPr>
          <w:rFonts w:hint="eastAsia"/>
        </w:rPr>
        <w:t xml:space="preserve">     文献内容（格式同上），网址，访问时间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hAnsi="_x000B__x000C_" w:eastAsia="楷体_GB2312"/>
          <w:szCs w:val="18"/>
        </w:rPr>
        <w:t>郭维真：</w:t>
      </w:r>
      <w:r>
        <w:rPr>
          <w:rFonts w:hint="eastAsia" w:ascii="楷体_GB2312" w:hAnsi="_x000B__x000C_" w:eastAsia="楷体_GB2312"/>
          <w:color w:val="006600"/>
          <w:szCs w:val="18"/>
        </w:rPr>
        <w:t>《</w:t>
      </w:r>
      <w:r>
        <w:rPr>
          <w:rFonts w:hint="eastAsia" w:ascii="楷体_GB2312" w:hAnsi="_x000B__x000C_" w:eastAsia="楷体_GB2312"/>
          <w:color w:val="006600"/>
          <w:szCs w:val="18"/>
        </w:rPr>
        <w:fldChar w:fldCharType="begin"/>
      </w:r>
      <w:r>
        <w:rPr>
          <w:rFonts w:hint="eastAsia" w:ascii="楷体_GB2312" w:hAnsi="_x000B__x000C_" w:eastAsia="楷体_GB2312"/>
          <w:color w:val="006600"/>
          <w:szCs w:val="18"/>
        </w:rPr>
        <w:instrText xml:space="preserve"> HYPERLINK "http://www.cftl.cn/proseminar2004/content.asp?a_id=1285" \t "_blank" </w:instrText>
      </w:r>
      <w:r>
        <w:rPr>
          <w:rFonts w:hint="eastAsia" w:ascii="楷体_GB2312" w:hAnsi="_x000B__x000C_" w:eastAsia="楷体_GB2312"/>
          <w:color w:val="006600"/>
          <w:szCs w:val="18"/>
        </w:rPr>
        <w:fldChar w:fldCharType="separate"/>
      </w:r>
      <w:r>
        <w:rPr>
          <w:rStyle w:val="8"/>
          <w:rFonts w:hint="eastAsia" w:ascii="楷体_GB2312" w:hAnsi="_x000B__x000C_" w:eastAsia="楷体_GB2312"/>
          <w:color w:val="000000"/>
          <w:szCs w:val="18"/>
        </w:rPr>
        <w:t>试论我国财税法教学的人才培养——兼论与财政税收教学之异同</w:t>
      </w:r>
      <w:r>
        <w:rPr>
          <w:rFonts w:hint="eastAsia" w:ascii="楷体_GB2312" w:hAnsi="_x000B__x000C_" w:eastAsia="楷体_GB2312"/>
          <w:color w:val="006600"/>
          <w:szCs w:val="18"/>
        </w:rPr>
        <w:fldChar w:fldCharType="end"/>
      </w:r>
      <w:r>
        <w:rPr>
          <w:rFonts w:hint="eastAsia" w:ascii="楷体_GB2312" w:hAnsi="_x000B__x000C_" w:eastAsia="楷体_GB2312"/>
          <w:color w:val="006600"/>
          <w:szCs w:val="18"/>
        </w:rPr>
        <w:t> 》，</w:t>
      </w:r>
      <w:r>
        <w:rPr>
          <w:rFonts w:ascii="楷体_GB2312" w:hAnsi="_x000B__x000C_" w:eastAsia="楷体_GB2312"/>
          <w:szCs w:val="18"/>
        </w:rPr>
        <w:t>http://www.cftl.cn/proseminar2004/content.asp?a_id=1285</w:t>
      </w:r>
      <w:r>
        <w:rPr>
          <w:rFonts w:hint="eastAsia" w:ascii="楷体_GB2312" w:eastAsia="楷体_GB2312"/>
        </w:rPr>
        <w:t>，2005年4月17日访问。</w:t>
      </w:r>
    </w:p>
    <w:p>
      <w:pPr>
        <w:ind w:firstLine="435"/>
        <w:rPr>
          <w:rFonts w:hint="eastAsia"/>
          <w:sz w:val="22"/>
          <w:szCs w:val="21"/>
        </w:rPr>
      </w:pPr>
      <w:r>
        <w:rPr>
          <w:rFonts w:hint="eastAsia"/>
        </w:rPr>
        <w:t>【注：原则上，如果同样内容有纸质文献，请优先选用纸质文献，以便查阅。】</w:t>
      </w:r>
    </w:p>
    <w:p>
      <w:pPr>
        <w:ind w:firstLine="435"/>
        <w:rPr>
          <w:rFonts w:hint="eastAsia" w:ascii="楷体_GB2312" w:hAnsi="_x000B__x000C_" w:eastAsia="楷体_GB2312"/>
          <w:szCs w:val="18"/>
          <w:lang w:eastAsia="zh-CN"/>
        </w:rPr>
      </w:pPr>
      <w:r>
        <w:rPr>
          <w:rFonts w:hint="eastAsia" w:ascii="楷体_GB2312" w:hAnsi="_x000B__x000C_" w:eastAsia="楷体_GB2312"/>
          <w:szCs w:val="18"/>
        </w:rPr>
        <w:t>赵耀彤：《一名基层法官眼里好律师的样子》，载微信公众号“中国法律评论”，2018年12月1日。</w:t>
      </w:r>
    </w:p>
    <w:p>
      <w:pPr>
        <w:ind w:firstLine="435"/>
        <w:rPr>
          <w:rFonts w:hint="eastAsia"/>
        </w:rPr>
      </w:pPr>
    </w:p>
    <w:p>
      <w:pPr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2．外文作品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几个一般性问题的说明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注意标题字母的大小写：书名和文章名称中各词的第一个字母都要大写，冠词与介系词除外。</w:t>
      </w:r>
    </w:p>
    <w:p>
      <w:pPr>
        <w:ind w:left="630" w:leftChars="3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left="630" w:leftChars="300"/>
      </w:pPr>
      <w:r>
        <w:rPr>
          <w:rFonts w:ascii="楷体_GB2312" w:eastAsia="楷体_GB2312"/>
        </w:rPr>
        <w:t xml:space="preserve">A Theory of Justice 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顺序和中文著作基本相同。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注意外文中标点符号用法的区别： 作者名之间不用顿号，而用“&amp;”或者逗号。作者与书名之间用逗号。书名和杂志名用斜体，作者名、文章名用正体。文章名、书名不加书名号），有些书稿中文章名加引号，也可以。（西文中不存在中文中的顿号和书名号。）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注意注文中一些常用的外文惯用语意义和用法。其中的一些缩写词，注意不要漏掉下脚点。 有些是拉丁文，一般用斜体。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cf. （请参考）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cited from （转引自）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ed.（编;版）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ascii="楷体_GB2312" w:eastAsia="楷体_GB2312"/>
        </w:rPr>
        <w:t>e.g.</w:t>
      </w:r>
      <w:r>
        <w:rPr>
          <w:rFonts w:hint="eastAsia" w:ascii="楷体_GB2312" w:eastAsia="楷体_GB2312"/>
        </w:rPr>
        <w:t xml:space="preserve"> （例如） 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  <w:i/>
          <w:iCs/>
        </w:rPr>
        <w:t>et al.</w:t>
      </w:r>
      <w:r>
        <w:rPr>
          <w:rFonts w:hint="eastAsia" w:ascii="楷体_GB2312" w:eastAsia="楷体_GB2312"/>
        </w:rPr>
        <w:t>（及其他）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etc. （等等）[不宜用于人名]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/>
        </w:rPr>
        <w:t xml:space="preserve">ff. </w:t>
      </w:r>
      <w:r>
        <w:rPr>
          <w:rFonts w:hint="eastAsia" w:ascii="楷体_GB2312" w:eastAsia="楷体_GB2312"/>
        </w:rPr>
        <w:t>（及以下）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ascii="楷体_GB2312" w:eastAsia="楷体_GB2312"/>
        </w:rPr>
        <w:t>id.</w:t>
      </w:r>
      <w:r>
        <w:rPr>
          <w:rFonts w:hint="eastAsia" w:ascii="楷体_GB2312" w:eastAsia="楷体_GB2312"/>
        </w:rPr>
        <w:t xml:space="preserve"> 或Ibid. （ 同上注）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op.cit.（前引书）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p.* （第×页）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pp.*-* （第×-×页）</w:t>
      </w:r>
    </w:p>
    <w:p>
      <w:pPr>
        <w:ind w:left="481" w:leftChars="229" w:firstLine="210" w:firstLineChars="100"/>
        <w:rPr>
          <w:rFonts w:hint="eastAsia"/>
        </w:rPr>
      </w:pPr>
      <w:r>
        <w:rPr>
          <w:rFonts w:hint="eastAsia" w:ascii="楷体_GB2312" w:eastAsia="楷体_GB2312"/>
          <w:i/>
          <w:iCs/>
        </w:rPr>
        <w:t xml:space="preserve">supra </w:t>
      </w:r>
      <w:r>
        <w:rPr>
          <w:rFonts w:hint="eastAsia" w:ascii="楷体_GB2312" w:eastAsia="楷体_GB2312"/>
        </w:rPr>
        <w:t>note* （同前注×）</w:t>
      </w:r>
      <w:r>
        <w:rPr>
          <w:rFonts w:hint="eastAsia"/>
        </w:rPr>
        <w:t xml:space="preserve">     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著作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William E Scheurman (ed.), </w:t>
      </w:r>
      <w:r>
        <w:rPr>
          <w:rFonts w:hint="eastAsia" w:ascii="楷体_GB2312" w:eastAsia="楷体_GB2312"/>
          <w:i/>
          <w:iCs/>
        </w:rPr>
        <w:t>The Rule of Law under Siege</w:t>
      </w:r>
      <w:r>
        <w:rPr>
          <w:rFonts w:hint="eastAsia" w:ascii="楷体_GB2312" w:eastAsia="楷体_GB2312"/>
        </w:rPr>
        <w:t>, Berkeley: University of California Press, 1996, p.144.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Bellow &amp; Kettleson, </w:t>
      </w:r>
      <w:r>
        <w:rPr>
          <w:rFonts w:hint="eastAsia" w:ascii="楷体_GB2312" w:eastAsia="楷体_GB2312"/>
          <w:i/>
          <w:iCs/>
        </w:rPr>
        <w:t>The Politics of Society in Legal Society Work</w:t>
      </w:r>
      <w:r>
        <w:rPr>
          <w:rFonts w:hint="eastAsia" w:ascii="楷体_GB2312" w:eastAsia="楷体_GB2312"/>
        </w:rPr>
        <w:t>, 36 NLADA Briefcase 5(1979),pp.11-16.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期刊文章</w:t>
      </w:r>
    </w:p>
    <w:p>
      <w:pPr>
        <w:ind w:firstLine="420" w:firstLineChars="200"/>
        <w:rPr>
          <w:rFonts w:hint="eastAsia" w:eastAsia="楷体_GB2312"/>
        </w:rPr>
      </w:pPr>
      <w:r>
        <w:rPr>
          <w:rFonts w:hint="eastAsia" w:eastAsia="楷体_GB2312"/>
        </w:rPr>
        <w:t>例如：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 xml:space="preserve">Robert J. Steinfeld, Property and Suffrage in the Early American Republic, 41 </w:t>
      </w:r>
      <w:r>
        <w:rPr>
          <w:rFonts w:hint="eastAsia" w:ascii="楷体_GB2312" w:eastAsia="楷体_GB2312"/>
          <w:i/>
          <w:iCs/>
        </w:rPr>
        <w:t>Stanford Law Review</w:t>
      </w:r>
      <w:r>
        <w:rPr>
          <w:rFonts w:hint="eastAsia" w:ascii="楷体_GB2312" w:eastAsia="楷体_GB2312"/>
        </w:rPr>
        <w:t xml:space="preserve"> 335 (1989), p.339.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（4）英文网站</w:t>
      </w:r>
    </w:p>
    <w:p>
      <w:pPr>
        <w:ind w:firstLine="435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例如：</w:t>
      </w:r>
    </w:p>
    <w:p>
      <w:pPr>
        <w:ind w:firstLine="435"/>
        <w:rPr>
          <w:rFonts w:hint="eastAsia" w:ascii="楷体_GB2312" w:eastAsia="楷体_GB2312"/>
          <w:lang w:eastAsia="zh-CN"/>
        </w:rPr>
      </w:pPr>
      <w:r>
        <w:rPr>
          <w:rFonts w:hint="eastAsia" w:ascii="楷体_GB2312" w:eastAsia="楷体_GB2312"/>
        </w:rPr>
        <w:t>Stephen McDonell,</w:t>
      </w:r>
      <w:r>
        <w:rPr>
          <w:rFonts w:hint="eastAsia" w:ascii="楷体_GB2312" w:eastAsia="楷体_GB2312"/>
          <w:i/>
          <w:iCs/>
        </w:rPr>
        <w:t xml:space="preserve"> When China Began Streaming Trials Online</w:t>
      </w:r>
      <w:r>
        <w:rPr>
          <w:rFonts w:hint="eastAsia" w:ascii="楷体_GB2312" w:eastAsia="楷体_GB2312"/>
        </w:rPr>
        <w:t xml:space="preserve">, BBC NEWS (Sept. 30, 2016), </w:t>
      </w:r>
      <w:r>
        <w:rPr>
          <w:rFonts w:hint="eastAsia" w:ascii="楷体_GB2312" w:eastAsia="楷体_GB2312"/>
        </w:rPr>
        <w:fldChar w:fldCharType="begin"/>
      </w:r>
      <w:r>
        <w:rPr>
          <w:rFonts w:hint="eastAsia" w:ascii="楷体_GB2312" w:eastAsia="楷体_GB2312"/>
        </w:rPr>
        <w:instrText xml:space="preserve"> HYPERLINK "https://www.bbc.com/news/blogs-china-blog-37515399." </w:instrText>
      </w:r>
      <w:r>
        <w:rPr>
          <w:rFonts w:hint="eastAsia" w:ascii="楷体_GB2312" w:eastAsia="楷体_GB2312"/>
        </w:rPr>
        <w:fldChar w:fldCharType="separate"/>
      </w:r>
      <w:r>
        <w:rPr>
          <w:rStyle w:val="8"/>
          <w:rFonts w:hint="eastAsia" w:ascii="楷体_GB2312" w:eastAsia="楷体_GB2312"/>
        </w:rPr>
        <w:t>https://www.bbc.com/news/blogs-china-blog-37515399.</w:t>
      </w:r>
      <w:r>
        <w:rPr>
          <w:rFonts w:hint="eastAsia" w:ascii="楷体_GB2312" w:eastAsia="楷体_GB2312"/>
        </w:rPr>
        <w:fldChar w:fldCharType="end"/>
      </w:r>
    </w:p>
    <w:p>
      <w:pPr>
        <w:numPr>
          <w:ilvl w:val="0"/>
          <w:numId w:val="7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案例类</w:t>
      </w:r>
    </w:p>
    <w:p>
      <w:pPr>
        <w:ind w:firstLine="435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Natural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Resources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Defense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Council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v.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Gorsuch,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685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F.2d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718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(D.C.Cir.1982).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U.S. v. Aluminum Co. of America, Federal Reporter, 2nd Series, Vol.148, 1945, p.416.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United States v. MacDonald, 531 F. 2d 196 (4th Cir. 1976), rev’d 435 U.S. 850 (1978).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A</w:t>
      </w:r>
      <w:r>
        <w:rPr>
          <w:rFonts w:hint="eastAsia" w:ascii="楷体_GB2312" w:eastAsia="楷体_GB2312"/>
          <w:lang w:eastAsia="zh-CN"/>
        </w:rPr>
        <w:t>p</w:t>
      </w:r>
      <w:r>
        <w:rPr>
          <w:rFonts w:hint="eastAsia" w:ascii="楷体_GB2312" w:eastAsia="楷体_GB2312"/>
        </w:rPr>
        <w:t xml:space="preserve">ellate Body Report, United States-Measure Affecting Imports of Woven Wool Shirts and Blouses from India, WT/DS33/AB/R and Corr.1, adopted 23 May 1997, </w:t>
      </w:r>
      <w:r>
        <w:rPr>
          <w:rFonts w:hint="eastAsia" w:ascii="楷体_GB2312" w:eastAsia="楷体_GB2312"/>
          <w:lang w:eastAsia="zh-CN"/>
        </w:rPr>
        <w:t>p</w:t>
      </w:r>
      <w:r>
        <w:rPr>
          <w:rFonts w:hint="eastAsia" w:ascii="楷体_GB2312" w:eastAsia="楷体_GB2312"/>
        </w:rPr>
        <w:t>.14-16.</w:t>
      </w:r>
    </w:p>
    <w:p>
      <w:pPr>
        <w:ind w:firstLine="435"/>
        <w:rPr>
          <w:rFonts w:hint="eastAsia" w:ascii="楷体_GB2312" w:eastAsia="楷体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FEE18"/>
    <w:multiLevelType w:val="singleLevel"/>
    <w:tmpl w:val="C53FEE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C04054"/>
    <w:multiLevelType w:val="singleLevel"/>
    <w:tmpl w:val="C8C04054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078071D4"/>
    <w:multiLevelType w:val="multilevel"/>
    <w:tmpl w:val="078071D4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3B072C23"/>
    <w:multiLevelType w:val="singleLevel"/>
    <w:tmpl w:val="3B072C2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3092240"/>
    <w:multiLevelType w:val="singleLevel"/>
    <w:tmpl w:val="63092240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6C6B045C"/>
    <w:multiLevelType w:val="multilevel"/>
    <w:tmpl w:val="6C6B045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08D1727"/>
    <w:multiLevelType w:val="multilevel"/>
    <w:tmpl w:val="708D1727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002601E7"/>
    <w:rsid w:val="0022795E"/>
    <w:rsid w:val="002601E7"/>
    <w:rsid w:val="00665027"/>
    <w:rsid w:val="00BD5A11"/>
    <w:rsid w:val="00C92E20"/>
    <w:rsid w:val="1C0341F8"/>
    <w:rsid w:val="457E311A"/>
    <w:rsid w:val="71E26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1"/>
    </w:pPr>
    <w:rPr>
      <w:rFonts w:ascii="Arial" w:hAnsi="Arial" w:eastAsia="宋体"/>
      <w:b/>
      <w:sz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丁传斌</Company>
  <Pages>6</Pages>
  <Words>3574</Words>
  <Characters>4439</Characters>
  <Lines>23</Lines>
  <Paragraphs>6</Paragraphs>
  <TotalTime>15</TotalTime>
  <ScaleCrop>false</ScaleCrop>
  <LinksUpToDate>false</LinksUpToDate>
  <CharactersWithSpaces>4630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2010-06-02T07:27:00Z</dcterms:created>
  <dc:creator>DCB</dc:creator>
  <cp:lastModifiedBy>危红波</cp:lastModifiedBy>
  <dcterms:modified xsi:type="dcterms:W3CDTF">2023-03-01T02:10:14Z</dcterms:modified>
  <dc:title>正文体系及注释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E4296EB911D043A299CD726A06E34B1D</vt:lpwstr>
  </property>
</Properties>
</file>