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
        <w:jc w:val="left"/>
        <w:rPr>
          <w:rFonts w:ascii="微软雅黑" w:hAnsi="微软雅黑" w:eastAsia="微软雅黑"/>
          <w:b/>
          <w:bCs/>
          <w:sz w:val="18"/>
          <w:szCs w:val="18"/>
          <w:bdr w:val="single" w:color="auto" w:sz="4" w:space="0"/>
        </w:rPr>
      </w:pPr>
    </w:p>
    <w:p>
      <w:pPr>
        <w:ind w:firstLine="1"/>
        <w:jc w:val="center"/>
        <w:rPr>
          <w:rFonts w:hint="default" w:hAnsi="宋体" w:eastAsia="宋体"/>
          <w:b/>
          <w:bCs/>
          <w:sz w:val="32"/>
          <w:szCs w:val="32"/>
          <w:lang w:val="en-US" w:eastAsia="zh-Hans"/>
        </w:rPr>
      </w:pPr>
      <w:r>
        <w:rPr>
          <w:rFonts w:hint="default" w:hAnsi="宋体"/>
          <w:b/>
          <w:bCs/>
          <w:sz w:val="32"/>
          <w:szCs w:val="32"/>
        </w:rPr>
        <w:t>《</w:t>
      </w:r>
      <w:r>
        <w:rPr>
          <w:rFonts w:hint="eastAsia" w:hAnsi="宋体"/>
          <w:b/>
          <w:bCs/>
          <w:sz w:val="32"/>
          <w:szCs w:val="32"/>
        </w:rPr>
        <w:t>科技创新和私法发展趋势</w:t>
      </w:r>
      <w:r>
        <w:rPr>
          <w:rFonts w:hint="default" w:hAnsi="宋体"/>
          <w:b/>
          <w:bCs/>
          <w:sz w:val="32"/>
          <w:szCs w:val="32"/>
        </w:rPr>
        <w:t>》</w:t>
      </w:r>
      <w:r>
        <w:rPr>
          <w:rFonts w:hint="eastAsia" w:hAnsi="宋体"/>
          <w:b/>
          <w:bCs/>
          <w:sz w:val="32"/>
          <w:szCs w:val="32"/>
          <w:lang w:val="en-US" w:eastAsia="zh-Hans"/>
        </w:rPr>
        <w:t>课程简介</w:t>
      </w:r>
    </w:p>
    <w:p>
      <w:pPr>
        <w:spacing w:after="160"/>
        <w:jc w:val="center"/>
        <w:rPr>
          <w:rFonts w:hAnsi="宋体"/>
          <w:b/>
          <w:bCs/>
          <w:sz w:val="28"/>
          <w:szCs w:val="28"/>
        </w:rPr>
      </w:pPr>
      <w:r>
        <w:rPr>
          <w:rFonts w:hAnsi="宋体"/>
          <w:b/>
          <w:bCs/>
          <w:sz w:val="28"/>
          <w:szCs w:val="28"/>
        </w:rPr>
        <w:t>Technology Innovation and Tendency of Development of Private Law</w:t>
      </w:r>
      <w:bookmarkStart w:id="4" w:name="_GoBack"/>
      <w:bookmarkEnd w:id="4"/>
    </w:p>
    <w:p>
      <w:pPr>
        <w:spacing w:before="100" w:beforeAutospacing="1" w:after="100" w:afterAutospacing="1"/>
        <w:rPr>
          <w:rFonts w:hAnsi="宋体"/>
          <w:b/>
          <w:bCs/>
          <w:color w:val="000080"/>
          <w:sz w:val="24"/>
          <w:szCs w:val="24"/>
        </w:rPr>
      </w:pPr>
      <w:r>
        <w:rPr>
          <w:rFonts w:hint="eastAsia" w:hAnsi="宋体"/>
          <w:b/>
          <w:bCs/>
          <w:color w:val="000080"/>
          <w:sz w:val="24"/>
          <w:szCs w:val="24"/>
        </w:rPr>
        <w:t>课程主讲人简介</w:t>
      </w:r>
    </w:p>
    <w:p>
      <w:pPr>
        <w:spacing w:after="160" w:line="276" w:lineRule="auto"/>
        <w:ind w:firstLine="360" w:firstLineChars="200"/>
        <w:rPr>
          <w:rFonts w:hAnsi="宋体"/>
          <w:color w:val="000000"/>
          <w:sz w:val="18"/>
          <w:szCs w:val="18"/>
        </w:rPr>
      </w:pPr>
      <w:r>
        <w:rPr>
          <w:rFonts w:hAnsi="宋体"/>
          <w:color w:val="000000"/>
          <w:sz w:val="18"/>
          <w:szCs w:val="18"/>
        </w:rPr>
        <w:t>Andre Janssen</w:t>
      </w:r>
      <w:r>
        <w:rPr>
          <w:rFonts w:hint="eastAsia" w:hAnsi="宋体"/>
          <w:color w:val="000000"/>
          <w:sz w:val="18"/>
          <w:szCs w:val="18"/>
        </w:rPr>
        <w:t>，教授，国际比较法领域著名学者，</w:t>
      </w:r>
      <w:r>
        <w:rPr>
          <w:rFonts w:hAnsi="宋体"/>
          <w:color w:val="000000"/>
          <w:sz w:val="18"/>
          <w:szCs w:val="18"/>
        </w:rPr>
        <w:t>2001</w:t>
      </w:r>
      <w:r>
        <w:rPr>
          <w:rFonts w:hint="eastAsia" w:hAnsi="宋体"/>
          <w:color w:val="000000"/>
          <w:sz w:val="18"/>
          <w:szCs w:val="18"/>
        </w:rPr>
        <w:t>年获得德国明斯特大学法学博士学位，荷兰拉德堡德（</w:t>
      </w:r>
      <w:r>
        <w:rPr>
          <w:rFonts w:hAnsi="宋体"/>
          <w:color w:val="000000"/>
          <w:sz w:val="18"/>
          <w:szCs w:val="18"/>
        </w:rPr>
        <w:t>Radboud</w:t>
      </w:r>
      <w:r>
        <w:rPr>
          <w:rFonts w:hint="eastAsia" w:hAnsi="宋体"/>
          <w:color w:val="000000"/>
          <w:sz w:val="18"/>
          <w:szCs w:val="18"/>
        </w:rPr>
        <w:t>）大学教授，《欧洲私法评论》主编，欧盟玛丽</w:t>
      </w:r>
      <w:r>
        <w:rPr>
          <w:rFonts w:hint="eastAsia" w:ascii="宋体" w:hAnsi="宋体"/>
          <w:color w:val="000000"/>
          <w:sz w:val="18"/>
          <w:szCs w:val="18"/>
        </w:rPr>
        <w:t>·</w:t>
      </w:r>
      <w:r>
        <w:rPr>
          <w:rFonts w:hint="eastAsia" w:hAnsi="宋体"/>
          <w:color w:val="000000"/>
          <w:sz w:val="18"/>
          <w:szCs w:val="18"/>
        </w:rPr>
        <w:t>居里（</w:t>
      </w:r>
      <w:r>
        <w:rPr>
          <w:rFonts w:hAnsi="宋体"/>
          <w:color w:val="000000"/>
          <w:sz w:val="18"/>
          <w:szCs w:val="18"/>
        </w:rPr>
        <w:t>Marie Curie</w:t>
      </w:r>
      <w:r>
        <w:rPr>
          <w:rFonts w:hint="eastAsia" w:hAnsi="宋体"/>
          <w:color w:val="000000"/>
          <w:sz w:val="18"/>
          <w:szCs w:val="18"/>
        </w:rPr>
        <w:t>）研究员，比利时鲁汶大学、法国里昂大学、意大利米兰博科尼大学等欧洲著名大学担任访问教授，</w:t>
      </w:r>
      <w:r>
        <w:rPr>
          <w:rFonts w:hAnsi="宋体"/>
          <w:color w:val="000000"/>
          <w:sz w:val="18"/>
          <w:szCs w:val="18"/>
        </w:rPr>
        <w:t>2015</w:t>
      </w:r>
      <w:r>
        <w:rPr>
          <w:rFonts w:hint="eastAsia" w:hAnsi="宋体"/>
          <w:color w:val="000000"/>
          <w:sz w:val="18"/>
          <w:szCs w:val="18"/>
        </w:rPr>
        <w:t>年至</w:t>
      </w:r>
      <w:r>
        <w:rPr>
          <w:rFonts w:hAnsi="宋体"/>
          <w:color w:val="000000"/>
          <w:sz w:val="18"/>
          <w:szCs w:val="18"/>
        </w:rPr>
        <w:t>2018</w:t>
      </w:r>
      <w:r>
        <w:rPr>
          <w:rFonts w:hint="eastAsia" w:hAnsi="宋体"/>
          <w:color w:val="000000"/>
          <w:sz w:val="18"/>
          <w:szCs w:val="18"/>
        </w:rPr>
        <w:t>年曾任香港城市大学法学院教授</w:t>
      </w:r>
      <w:r>
        <w:rPr>
          <w:rFonts w:hAnsi="宋体"/>
          <w:color w:val="000000"/>
          <w:sz w:val="18"/>
          <w:szCs w:val="18"/>
        </w:rPr>
        <w:t>, 2016</w:t>
      </w:r>
      <w:r>
        <w:rPr>
          <w:rFonts w:hint="eastAsia" w:hAnsi="宋体"/>
          <w:color w:val="000000"/>
          <w:sz w:val="18"/>
          <w:szCs w:val="18"/>
        </w:rPr>
        <w:t>年至</w:t>
      </w:r>
      <w:r>
        <w:rPr>
          <w:rFonts w:hAnsi="宋体"/>
          <w:color w:val="000000"/>
          <w:sz w:val="18"/>
          <w:szCs w:val="18"/>
        </w:rPr>
        <w:t>2019</w:t>
      </w:r>
      <w:r>
        <w:rPr>
          <w:rFonts w:hint="eastAsia" w:hAnsi="宋体"/>
          <w:color w:val="000000"/>
          <w:sz w:val="18"/>
          <w:szCs w:val="18"/>
        </w:rPr>
        <w:t>年曾担任中国“一带一路”学术顾问。在世界学术刊物发表论文</w:t>
      </w:r>
      <w:r>
        <w:rPr>
          <w:rFonts w:hAnsi="宋体"/>
          <w:color w:val="000000"/>
          <w:sz w:val="18"/>
          <w:szCs w:val="18"/>
        </w:rPr>
        <w:t>140</w:t>
      </w:r>
      <w:r>
        <w:rPr>
          <w:rFonts w:hint="eastAsia" w:hAnsi="宋体"/>
          <w:color w:val="000000"/>
          <w:sz w:val="18"/>
          <w:szCs w:val="18"/>
        </w:rPr>
        <w:t>余篇，出版书籍</w:t>
      </w:r>
      <w:r>
        <w:rPr>
          <w:rFonts w:hAnsi="宋体"/>
          <w:color w:val="000000"/>
          <w:sz w:val="18"/>
          <w:szCs w:val="18"/>
        </w:rPr>
        <w:t>18</w:t>
      </w:r>
      <w:r>
        <w:rPr>
          <w:rFonts w:hint="eastAsia" w:hAnsi="宋体"/>
          <w:color w:val="000000"/>
          <w:sz w:val="18"/>
          <w:szCs w:val="18"/>
        </w:rPr>
        <w:t>本。主要研究比较私法，特别是在侵权法，国际商事仲裁法，国际商事合同领域，科技法领域在国际上取得重大突出研究成就。</w:t>
      </w:r>
    </w:p>
    <w:p>
      <w:pPr>
        <w:spacing w:before="100" w:beforeAutospacing="1" w:after="100" w:afterAutospacing="1"/>
        <w:rPr>
          <w:rFonts w:hAnsi="宋体"/>
          <w:b/>
          <w:bCs/>
          <w:color w:val="000080"/>
          <w:sz w:val="24"/>
          <w:szCs w:val="24"/>
        </w:rPr>
      </w:pPr>
      <w:bookmarkStart w:id="0" w:name="OLE_LINK5"/>
      <w:bookmarkStart w:id="1" w:name="OLE_LINK4"/>
      <w:bookmarkStart w:id="2" w:name="OLE_LINK2"/>
      <w:bookmarkStart w:id="3" w:name="OLE_LINK1"/>
      <w:r>
        <w:rPr>
          <w:rFonts w:hAnsi="宋体"/>
          <w:b/>
          <w:bCs/>
          <w:color w:val="000080"/>
          <w:sz w:val="24"/>
          <w:szCs w:val="24"/>
        </w:rPr>
        <w:t>Profile</w:t>
      </w:r>
      <w:bookmarkEnd w:id="0"/>
      <w:bookmarkEnd w:id="1"/>
    </w:p>
    <w:bookmarkEnd w:id="2"/>
    <w:bookmarkEnd w:id="3"/>
    <w:p>
      <w:pPr>
        <w:spacing w:after="160" w:line="276" w:lineRule="auto"/>
        <w:ind w:firstLine="360" w:firstLineChars="200"/>
        <w:rPr>
          <w:color w:val="000000"/>
          <w:sz w:val="18"/>
          <w:szCs w:val="18"/>
        </w:rPr>
      </w:pPr>
      <w:r>
        <w:rPr>
          <w:rFonts w:hAnsi="宋体"/>
          <w:color w:val="000000"/>
          <w:sz w:val="18"/>
          <w:szCs w:val="18"/>
        </w:rPr>
        <w:t>Andre Janssen</w:t>
      </w:r>
      <w:r>
        <w:rPr>
          <w:rFonts w:hint="eastAsia" w:hAnsi="宋体"/>
          <w:color w:val="000000"/>
          <w:sz w:val="18"/>
          <w:szCs w:val="18"/>
        </w:rPr>
        <w:t>，</w:t>
      </w:r>
      <w:r>
        <w:rPr>
          <w:rFonts w:hAnsi="宋体"/>
          <w:color w:val="000000"/>
          <w:sz w:val="18"/>
          <w:szCs w:val="18"/>
        </w:rPr>
        <w:t xml:space="preserve"> professor of law at Radboud University (Netherlands), Chief-Editor of European Pr</w:t>
      </w:r>
      <w:r>
        <w:rPr>
          <w:rFonts w:hint="eastAsia" w:hAnsi="宋体"/>
          <w:color w:val="000000"/>
          <w:sz w:val="18"/>
          <w:szCs w:val="18"/>
        </w:rPr>
        <w:t>iv</w:t>
      </w:r>
      <w:r>
        <w:rPr>
          <w:rFonts w:hAnsi="宋体"/>
          <w:color w:val="000000"/>
          <w:sz w:val="18"/>
          <w:szCs w:val="18"/>
        </w:rPr>
        <w:t>ate Law, holder of Phd.</w:t>
      </w:r>
      <w:r>
        <w:rPr>
          <w:rFonts w:hint="eastAsia" w:hAnsi="宋体"/>
          <w:color w:val="000000"/>
          <w:sz w:val="18"/>
          <w:szCs w:val="18"/>
        </w:rPr>
        <w:t xml:space="preserve"> </w:t>
      </w:r>
      <w:r>
        <w:rPr>
          <w:rFonts w:hAnsi="宋体"/>
          <w:color w:val="000000"/>
          <w:sz w:val="18"/>
          <w:szCs w:val="18"/>
        </w:rPr>
        <w:t>Degree in law at Muenster University (Germany, 2021), Marie Curie Fellow, visiting professor of Leuven Cathelic University (Belgium), Lyon University (France), Verona University and Bocconi University of Milan (Italy). He served as a chair professor of law at Hong Kong City University from 2015 to 2018 and as an academic advisor to One Road and One Belt Committe</w:t>
      </w:r>
      <w:r>
        <w:rPr>
          <w:rFonts w:hint="eastAsia" w:hAnsi="宋体"/>
          <w:color w:val="000000"/>
          <w:sz w:val="18"/>
          <w:szCs w:val="18"/>
        </w:rPr>
        <w:t>e</w:t>
      </w:r>
      <w:r>
        <w:rPr>
          <w:rFonts w:hAnsi="宋体"/>
          <w:color w:val="000000"/>
          <w:sz w:val="18"/>
          <w:szCs w:val="18"/>
        </w:rPr>
        <w:t xml:space="preserve">. </w:t>
      </w:r>
      <w:r>
        <w:rPr>
          <w:color w:val="000000"/>
          <w:sz w:val="18"/>
          <w:szCs w:val="18"/>
        </w:rPr>
        <w:t>He is renowned scholar for his international leading expertise on private law, in particular, in the field of Tort Law, In</w:t>
      </w:r>
      <w:r>
        <w:rPr>
          <w:rFonts w:hint="eastAsia"/>
          <w:color w:val="000000"/>
          <w:sz w:val="18"/>
          <w:szCs w:val="18"/>
        </w:rPr>
        <w:t>t</w:t>
      </w:r>
      <w:r>
        <w:rPr>
          <w:color w:val="000000"/>
          <w:sz w:val="18"/>
          <w:szCs w:val="18"/>
        </w:rPr>
        <w:t>er</w:t>
      </w:r>
      <w:r>
        <w:rPr>
          <w:rFonts w:hint="eastAsia"/>
          <w:color w:val="000000"/>
          <w:sz w:val="18"/>
          <w:szCs w:val="18"/>
        </w:rPr>
        <w:t>na</w:t>
      </w:r>
      <w:r>
        <w:rPr>
          <w:color w:val="000000"/>
          <w:sz w:val="18"/>
          <w:szCs w:val="18"/>
        </w:rPr>
        <w:t>tional Commercial Law, International Arbitration Law, Law of Technology, with his international publication of 140 articles and 18 books.</w:t>
      </w:r>
    </w:p>
    <w:tbl>
      <w:tblPr>
        <w:tblStyle w:val="4"/>
        <w:tblpPr w:leftFromText="180" w:rightFromText="180" w:vertAnchor="text" w:horzAnchor="margin" w:tblpX="74" w:tblpY="7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b/>
                <w:bCs/>
                <w:color w:val="1F497D"/>
                <w:sz w:val="15"/>
                <w:szCs w:val="15"/>
              </w:rPr>
            </w:pPr>
            <w:r>
              <w:rPr>
                <w:rFonts w:hint="eastAsia" w:hAnsi="宋体"/>
                <w:b/>
                <w:bCs/>
                <w:color w:val="1F497D"/>
                <w:sz w:val="15"/>
                <w:szCs w:val="15"/>
              </w:rPr>
              <w:t>院系</w:t>
            </w:r>
            <w:r>
              <w:rPr>
                <w:b/>
                <w:bCs/>
                <w:color w:val="1F497D"/>
                <w:sz w:val="15"/>
                <w:szCs w:val="15"/>
              </w:rPr>
              <w:t xml:space="preserve">  School</w:t>
            </w:r>
          </w:p>
        </w:tc>
        <w:tc>
          <w:tcPr>
            <w:tcW w:w="4678" w:type="dxa"/>
            <w:vAlign w:val="center"/>
          </w:tcPr>
          <w:p>
            <w:pPr>
              <w:spacing w:after="160"/>
              <w:rPr>
                <w:color w:val="000000"/>
                <w:sz w:val="15"/>
                <w:szCs w:val="15"/>
              </w:rPr>
            </w:pPr>
            <w:r>
              <w:rPr>
                <w:rFonts w:hint="eastAsia" w:hAnsi="宋体"/>
                <w:color w:val="000000"/>
                <w:sz w:val="15"/>
                <w:szCs w:val="15"/>
              </w:rPr>
              <w:t>法律</w:t>
            </w:r>
            <w:r>
              <w:rPr>
                <w:rFonts w:hAnsi="宋体"/>
                <w:color w:val="000000"/>
                <w:sz w:val="15"/>
                <w:szCs w:val="15"/>
              </w:rPr>
              <w:t>School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b/>
                <w:bCs/>
                <w:color w:val="1F497D"/>
                <w:sz w:val="15"/>
                <w:szCs w:val="15"/>
              </w:rPr>
            </w:pPr>
            <w:r>
              <w:rPr>
                <w:rFonts w:hint="eastAsia" w:hAnsi="宋体"/>
                <w:b/>
                <w:bCs/>
                <w:color w:val="1F497D"/>
                <w:sz w:val="15"/>
                <w:szCs w:val="15"/>
              </w:rPr>
              <w:t>学科门类</w:t>
            </w:r>
            <w:r>
              <w:rPr>
                <w:b/>
                <w:bCs/>
                <w:color w:val="1F497D"/>
                <w:sz w:val="15"/>
                <w:szCs w:val="15"/>
              </w:rPr>
              <w:t xml:space="preserve"> Fields of Study</w:t>
            </w:r>
          </w:p>
        </w:tc>
        <w:tc>
          <w:tcPr>
            <w:tcW w:w="4678" w:type="dxa"/>
            <w:vAlign w:val="center"/>
          </w:tcPr>
          <w:p>
            <w:pPr>
              <w:spacing w:after="160"/>
              <w:rPr>
                <w:color w:val="000000"/>
                <w:sz w:val="15"/>
                <w:szCs w:val="15"/>
              </w:rPr>
            </w:pPr>
            <w:r>
              <w:rPr>
                <w:rFonts w:hint="eastAsia" w:hAnsi="宋体"/>
                <w:color w:val="000000"/>
                <w:sz w:val="15"/>
                <w:szCs w:val="15"/>
              </w:rPr>
              <w:t>法学</w:t>
            </w:r>
            <w:r>
              <w:rPr>
                <w:color w:val="000000"/>
                <w:sz w:val="15"/>
                <w:szCs w:val="15"/>
              </w:rPr>
              <w:t xml:space="preserve"> legal S</w:t>
            </w:r>
            <w:r>
              <w:rPr>
                <w:rFonts w:hint="eastAsia"/>
                <w:color w:val="000000"/>
                <w:sz w:val="15"/>
                <w:szCs w:val="15"/>
              </w:rPr>
              <w:t>c</w:t>
            </w:r>
            <w:r>
              <w:rPr>
                <w:color w:val="000000"/>
                <w:sz w:val="15"/>
                <w:szCs w:val="15"/>
              </w:rPr>
              <w:t>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b/>
                <w:bCs/>
                <w:color w:val="1F497D"/>
                <w:sz w:val="15"/>
                <w:szCs w:val="15"/>
              </w:rPr>
            </w:pPr>
            <w:r>
              <w:rPr>
                <w:rFonts w:hint="eastAsia" w:hAnsi="宋体"/>
                <w:b/>
                <w:bCs/>
                <w:color w:val="1F497D"/>
                <w:sz w:val="15"/>
                <w:szCs w:val="15"/>
              </w:rPr>
              <w:t>所属一级学科名称</w:t>
            </w:r>
            <w:r>
              <w:rPr>
                <w:b/>
                <w:bCs/>
                <w:color w:val="1F497D"/>
                <w:sz w:val="15"/>
                <w:szCs w:val="15"/>
              </w:rPr>
              <w:t xml:space="preserve"> Disciplines</w:t>
            </w:r>
          </w:p>
        </w:tc>
        <w:tc>
          <w:tcPr>
            <w:tcW w:w="4678" w:type="dxa"/>
            <w:vAlign w:val="center"/>
          </w:tcPr>
          <w:p>
            <w:pPr>
              <w:spacing w:after="160"/>
              <w:rPr>
                <w:color w:val="000000"/>
                <w:sz w:val="15"/>
                <w:szCs w:val="15"/>
              </w:rPr>
            </w:pPr>
            <w:r>
              <w:rPr>
                <w:rFonts w:hint="eastAsia"/>
                <w:color w:val="000000"/>
                <w:sz w:val="15"/>
                <w:szCs w:val="15"/>
              </w:rPr>
              <w:t>法学</w:t>
            </w:r>
            <w:r>
              <w:rPr>
                <w:color w:val="000000"/>
                <w:sz w:val="15"/>
                <w:szCs w:val="15"/>
              </w:rPr>
              <w:t xml:space="preserve"> L</w:t>
            </w:r>
            <w:r>
              <w:rPr>
                <w:rFonts w:hint="eastAsia"/>
                <w:color w:val="000000"/>
                <w:sz w:val="15"/>
                <w:szCs w:val="15"/>
              </w:rPr>
              <w:t>e</w:t>
            </w:r>
            <w:r>
              <w:rPr>
                <w:color w:val="000000"/>
                <w:sz w:val="15"/>
                <w:szCs w:val="15"/>
              </w:rPr>
              <w:t>gal S</w:t>
            </w:r>
            <w:r>
              <w:rPr>
                <w:rFonts w:hint="eastAsia"/>
                <w:color w:val="000000"/>
                <w:sz w:val="15"/>
                <w:szCs w:val="15"/>
              </w:rPr>
              <w:t>ci</w:t>
            </w:r>
            <w:r>
              <w:rPr>
                <w:color w:val="000000"/>
                <w:sz w:val="15"/>
                <w:szCs w:val="15"/>
              </w:rPr>
              <w:t xml:space="preserve">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b/>
                <w:bCs/>
                <w:color w:val="1F497D"/>
                <w:sz w:val="15"/>
                <w:szCs w:val="15"/>
              </w:rPr>
            </w:pPr>
            <w:r>
              <w:rPr>
                <w:rFonts w:hint="eastAsia" w:hAnsi="宋体"/>
                <w:b/>
                <w:bCs/>
                <w:color w:val="1F497D"/>
                <w:sz w:val="15"/>
                <w:szCs w:val="15"/>
              </w:rPr>
              <w:t>所属二级学科名称</w:t>
            </w:r>
            <w:r>
              <w:rPr>
                <w:b/>
                <w:bCs/>
                <w:color w:val="1F497D"/>
                <w:sz w:val="15"/>
                <w:szCs w:val="15"/>
              </w:rPr>
              <w:t xml:space="preserve"> Sub-Disciplines</w:t>
            </w:r>
          </w:p>
        </w:tc>
        <w:tc>
          <w:tcPr>
            <w:tcW w:w="4678" w:type="dxa"/>
            <w:vAlign w:val="center"/>
          </w:tcPr>
          <w:p>
            <w:pPr>
              <w:spacing w:after="160"/>
              <w:rPr>
                <w:color w:val="000000"/>
                <w:sz w:val="15"/>
                <w:szCs w:val="15"/>
              </w:rPr>
            </w:pPr>
            <w:r>
              <w:rPr>
                <w:rFonts w:hint="eastAsia" w:hAnsi="宋体"/>
                <w:color w:val="000000"/>
                <w:sz w:val="15"/>
                <w:szCs w:val="15"/>
              </w:rPr>
              <w:t>民商法</w:t>
            </w:r>
            <w:r>
              <w:rPr>
                <w:color w:val="000000"/>
                <w:sz w:val="15"/>
                <w:szCs w:val="15"/>
              </w:rPr>
              <w:t xml:space="preserve"> civil Law,  </w:t>
            </w:r>
            <w:r>
              <w:rPr>
                <w:rFonts w:hint="eastAsia"/>
                <w:color w:val="000000"/>
                <w:sz w:val="15"/>
                <w:szCs w:val="15"/>
              </w:rPr>
              <w:t>比较法</w:t>
            </w:r>
            <w:r>
              <w:rPr>
                <w:color w:val="000000"/>
                <w:sz w:val="15"/>
                <w:szCs w:val="15"/>
              </w:rPr>
              <w:t xml:space="preserve"> Comparative Law, </w:t>
            </w:r>
            <w:r>
              <w:rPr>
                <w:rFonts w:hint="eastAsia"/>
                <w:color w:val="000000"/>
                <w:sz w:val="15"/>
                <w:szCs w:val="15"/>
              </w:rPr>
              <w:t>国际私法</w:t>
            </w:r>
            <w:r>
              <w:rPr>
                <w:color w:val="000000"/>
                <w:sz w:val="15"/>
                <w:szCs w:val="15"/>
              </w:rPr>
              <w:t xml:space="preserve"> International Private L</w:t>
            </w:r>
            <w:r>
              <w:rPr>
                <w:rFonts w:hint="eastAsia"/>
                <w:color w:val="000000"/>
                <w:sz w:val="15"/>
                <w:szCs w:val="15"/>
              </w:rPr>
              <w:t>a</w:t>
            </w:r>
            <w:r>
              <w:rPr>
                <w:color w:val="000000"/>
                <w:sz w:val="15"/>
                <w:szCs w:val="15"/>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rFonts w:hAnsi="宋体"/>
                <w:b/>
                <w:bCs/>
                <w:color w:val="1F497D"/>
                <w:sz w:val="15"/>
                <w:szCs w:val="15"/>
              </w:rPr>
            </w:pPr>
            <w:r>
              <w:rPr>
                <w:rFonts w:hint="eastAsia" w:hAnsi="宋体"/>
                <w:b/>
                <w:bCs/>
                <w:color w:val="1F497D"/>
                <w:sz w:val="15"/>
                <w:szCs w:val="15"/>
              </w:rPr>
              <w:t>先修课程</w:t>
            </w:r>
            <w:r>
              <w:rPr>
                <w:b/>
                <w:bCs/>
                <w:color w:val="1F497D"/>
                <w:sz w:val="15"/>
                <w:szCs w:val="15"/>
              </w:rPr>
              <w:t xml:space="preserve"> Prerequisites</w:t>
            </w:r>
          </w:p>
        </w:tc>
        <w:tc>
          <w:tcPr>
            <w:tcW w:w="4678" w:type="dxa"/>
            <w:vAlign w:val="center"/>
          </w:tcPr>
          <w:p>
            <w:pPr>
              <w:spacing w:after="160"/>
              <w:rPr>
                <w:rFonts w:hAnsi="宋体"/>
                <w:color w:val="000000"/>
                <w:sz w:val="15"/>
                <w:szCs w:val="15"/>
              </w:rPr>
            </w:pPr>
            <w:r>
              <w:rPr>
                <w:rFonts w:hint="eastAsia"/>
                <w:color w:val="000000"/>
                <w:sz w:val="15"/>
                <w:szCs w:val="15"/>
              </w:rPr>
              <w:t>民法学</w:t>
            </w:r>
            <w:r>
              <w:rPr>
                <w:sz w:val="15"/>
                <w:szCs w:val="15"/>
              </w:rPr>
              <w:t xml:space="preserve"> </w:t>
            </w:r>
            <w:r>
              <w:rPr>
                <w:color w:val="000000"/>
                <w:sz w:val="15"/>
                <w:szCs w:val="15"/>
              </w:rPr>
              <w:t xml:space="preserve">Civil Law, </w:t>
            </w:r>
            <w:r>
              <w:rPr>
                <w:rFonts w:hint="eastAsia"/>
                <w:color w:val="000000"/>
                <w:sz w:val="15"/>
                <w:szCs w:val="15"/>
              </w:rPr>
              <w:t>合同法</w:t>
            </w:r>
            <w:r>
              <w:rPr>
                <w:color w:val="000000"/>
                <w:sz w:val="15"/>
                <w:szCs w:val="15"/>
              </w:rPr>
              <w:t xml:space="preserve"> Contract Law, </w:t>
            </w:r>
            <w:r>
              <w:rPr>
                <w:rFonts w:hint="eastAsia"/>
                <w:color w:val="000000"/>
                <w:sz w:val="15"/>
                <w:szCs w:val="15"/>
              </w:rPr>
              <w:t>侵权法</w:t>
            </w:r>
            <w:r>
              <w:rPr>
                <w:color w:val="000000"/>
                <w:sz w:val="15"/>
                <w:szCs w:val="15"/>
              </w:rPr>
              <w:t xml:space="preserve"> Tort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line="240" w:lineRule="exact"/>
              <w:rPr>
                <w:b/>
                <w:bCs/>
                <w:color w:val="1F497D"/>
                <w:sz w:val="15"/>
                <w:szCs w:val="15"/>
              </w:rPr>
            </w:pPr>
            <w:r>
              <w:rPr>
                <w:rFonts w:hint="eastAsia" w:hAnsi="宋体"/>
                <w:b/>
                <w:bCs/>
                <w:color w:val="1F497D"/>
                <w:sz w:val="15"/>
                <w:szCs w:val="15"/>
              </w:rPr>
              <w:t>选课对象</w:t>
            </w:r>
            <w:r>
              <w:rPr>
                <w:b/>
                <w:bCs/>
                <w:color w:val="1F497D"/>
                <w:sz w:val="15"/>
                <w:szCs w:val="15"/>
              </w:rPr>
              <w:t xml:space="preserve"> Registration Recommendations</w:t>
            </w:r>
          </w:p>
        </w:tc>
        <w:tc>
          <w:tcPr>
            <w:tcW w:w="4678" w:type="dxa"/>
            <w:vAlign w:val="center"/>
          </w:tcPr>
          <w:p>
            <w:pPr>
              <w:spacing w:after="160"/>
              <w:rPr>
                <w:color w:val="000000"/>
                <w:sz w:val="15"/>
                <w:szCs w:val="15"/>
              </w:rPr>
            </w:pPr>
            <w:r>
              <w:rPr>
                <w:rFonts w:hint="eastAsia" w:hAnsi="宋体"/>
                <w:color w:val="000000"/>
                <w:sz w:val="15"/>
                <w:szCs w:val="15"/>
              </w:rPr>
              <w:t>外籍来华留学本科生</w:t>
            </w:r>
            <w:r>
              <w:rPr>
                <w:rFonts w:hAnsi="宋体"/>
                <w:color w:val="000000"/>
                <w:sz w:val="15"/>
                <w:szCs w:val="15"/>
              </w:rPr>
              <w:t xml:space="preserve"> I</w:t>
            </w:r>
            <w:r>
              <w:rPr>
                <w:color w:val="000000"/>
                <w:sz w:val="15"/>
                <w:szCs w:val="15"/>
              </w:rPr>
              <w:t>nternational undergraduate students,</w:t>
            </w:r>
          </w:p>
          <w:p>
            <w:pPr>
              <w:spacing w:after="160"/>
              <w:rPr>
                <w:color w:val="000000"/>
                <w:sz w:val="15"/>
                <w:szCs w:val="15"/>
              </w:rPr>
            </w:pPr>
            <w:r>
              <w:rPr>
                <w:rFonts w:hint="eastAsia"/>
                <w:color w:val="000000"/>
                <w:sz w:val="15"/>
                <w:szCs w:val="15"/>
              </w:rPr>
              <w:t>本校中国学生</w:t>
            </w:r>
            <w:r>
              <w:rPr>
                <w:color w:val="000000"/>
                <w:sz w:val="15"/>
                <w:szCs w:val="15"/>
              </w:rPr>
              <w:t xml:space="preserve"> all students enrolled at ECUPL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line="240" w:lineRule="exact"/>
              <w:rPr>
                <w:rFonts w:hAnsi="宋体"/>
                <w:b/>
                <w:bCs/>
                <w:color w:val="1F497D"/>
                <w:sz w:val="15"/>
                <w:szCs w:val="15"/>
              </w:rPr>
            </w:pPr>
            <w:r>
              <w:rPr>
                <w:rFonts w:hint="eastAsia" w:hAnsi="宋体"/>
                <w:b/>
                <w:bCs/>
                <w:color w:val="1F497D"/>
                <w:sz w:val="15"/>
                <w:szCs w:val="15"/>
              </w:rPr>
              <w:t>课时与学分</w:t>
            </w:r>
            <w:r>
              <w:rPr>
                <w:rFonts w:hAnsi="宋体"/>
                <w:b/>
                <w:bCs/>
                <w:color w:val="1F497D"/>
                <w:sz w:val="15"/>
                <w:szCs w:val="15"/>
              </w:rPr>
              <w:t xml:space="preserve"> Lecture Hours &amp; Credits</w:t>
            </w:r>
          </w:p>
        </w:tc>
        <w:tc>
          <w:tcPr>
            <w:tcW w:w="4678" w:type="dxa"/>
            <w:vAlign w:val="center"/>
          </w:tcPr>
          <w:p>
            <w:pPr>
              <w:spacing w:after="160" w:line="240" w:lineRule="exact"/>
              <w:rPr>
                <w:rFonts w:hAnsi="宋体"/>
                <w:b/>
                <w:bCs/>
                <w:color w:val="000000"/>
                <w:sz w:val="15"/>
                <w:szCs w:val="15"/>
              </w:rPr>
            </w:pPr>
            <w:r>
              <w:rPr>
                <w:rFonts w:hAnsi="宋体"/>
                <w:bCs/>
                <w:color w:val="000000"/>
                <w:sz w:val="15"/>
                <w:szCs w:val="15"/>
              </w:rPr>
              <w:t>3</w:t>
            </w:r>
            <w:r>
              <w:rPr>
                <w:rFonts w:hint="eastAsia" w:hAnsi="宋体"/>
                <w:bCs/>
                <w:color w:val="000000"/>
                <w:sz w:val="15"/>
                <w:szCs w:val="15"/>
              </w:rPr>
              <w:t>2学时；</w:t>
            </w:r>
            <w:r>
              <w:rPr>
                <w:rFonts w:hAnsi="宋体"/>
                <w:bCs/>
                <w:color w:val="000000"/>
                <w:sz w:val="15"/>
                <w:szCs w:val="15"/>
              </w:rPr>
              <w:t>2</w:t>
            </w:r>
            <w:r>
              <w:rPr>
                <w:rFonts w:hint="eastAsia" w:hAnsi="宋体"/>
                <w:bCs/>
                <w:color w:val="000000"/>
                <w:sz w:val="15"/>
                <w:szCs w:val="15"/>
              </w:rPr>
              <w:t>学分</w:t>
            </w:r>
            <w:r>
              <w:rPr>
                <w:rFonts w:hAnsi="宋体"/>
                <w:b/>
                <w:bCs/>
                <w:color w:val="000000"/>
                <w:sz w:val="15"/>
                <w:szCs w:val="15"/>
              </w:rPr>
              <w:t xml:space="preserve"> </w:t>
            </w:r>
            <w:r>
              <w:rPr>
                <w:color w:val="000000"/>
                <w:sz w:val="15"/>
                <w:szCs w:val="15"/>
              </w:rPr>
              <w:t>3</w:t>
            </w:r>
            <w:r>
              <w:rPr>
                <w:rFonts w:hint="eastAsia"/>
                <w:color w:val="000000"/>
                <w:sz w:val="15"/>
                <w:szCs w:val="15"/>
              </w:rPr>
              <w:t xml:space="preserve">2 </w:t>
            </w:r>
            <w:r>
              <w:rPr>
                <w:color w:val="000000"/>
                <w:sz w:val="15"/>
                <w:szCs w:val="15"/>
              </w:rPr>
              <w:t>Lecture Hours; 2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b/>
                <w:bCs/>
                <w:color w:val="1F497D"/>
                <w:sz w:val="15"/>
                <w:szCs w:val="15"/>
              </w:rPr>
            </w:pPr>
            <w:r>
              <w:rPr>
                <w:rFonts w:hint="eastAsia" w:hAnsi="宋体"/>
                <w:b/>
                <w:bCs/>
                <w:color w:val="1F497D"/>
                <w:sz w:val="15"/>
                <w:szCs w:val="15"/>
              </w:rPr>
              <w:t>授课语言</w:t>
            </w:r>
            <w:r>
              <w:rPr>
                <w:b/>
                <w:bCs/>
                <w:color w:val="1F497D"/>
                <w:sz w:val="15"/>
                <w:szCs w:val="15"/>
              </w:rPr>
              <w:t xml:space="preserve"> Language taught</w:t>
            </w:r>
          </w:p>
        </w:tc>
        <w:tc>
          <w:tcPr>
            <w:tcW w:w="4678" w:type="dxa"/>
            <w:vAlign w:val="center"/>
          </w:tcPr>
          <w:p>
            <w:pPr>
              <w:spacing w:after="160"/>
              <w:rPr>
                <w:color w:val="000000"/>
                <w:sz w:val="15"/>
                <w:szCs w:val="15"/>
              </w:rPr>
            </w:pPr>
            <w:r>
              <w:rPr>
                <w:rFonts w:hint="eastAsia"/>
                <w:color w:val="000000"/>
                <w:sz w:val="15"/>
                <w:szCs w:val="15"/>
              </w:rPr>
              <w:t>英语</w:t>
            </w:r>
            <w:r>
              <w:rPr>
                <w:color w:val="000000"/>
                <w:sz w:val="15"/>
                <w:szCs w:val="15"/>
              </w:rPr>
              <w:t xml:space="preserve"> English</w:t>
            </w:r>
          </w:p>
        </w:tc>
      </w:tr>
    </w:tbl>
    <w:p>
      <w:pPr>
        <w:spacing w:before="100" w:beforeAutospacing="1" w:after="100" w:afterAutospacing="1"/>
        <w:rPr>
          <w:rFonts w:hint="eastAsia" w:hAnsi="宋体"/>
          <w:b/>
          <w:bCs/>
          <w:color w:val="000080"/>
          <w:sz w:val="24"/>
          <w:szCs w:val="24"/>
        </w:rPr>
      </w:pPr>
    </w:p>
    <w:p>
      <w:pPr>
        <w:spacing w:before="100" w:beforeAutospacing="1" w:after="100" w:afterAutospacing="1"/>
        <w:rPr>
          <w:rFonts w:hAnsi="宋体"/>
          <w:b/>
          <w:bCs/>
          <w:color w:val="000080"/>
          <w:sz w:val="24"/>
          <w:szCs w:val="24"/>
        </w:rPr>
      </w:pPr>
      <w:r>
        <w:rPr>
          <w:rFonts w:hint="eastAsia" w:hAnsi="宋体"/>
          <w:b/>
          <w:bCs/>
          <w:color w:val="000080"/>
          <w:sz w:val="24"/>
          <w:szCs w:val="24"/>
        </w:rPr>
        <w:t>基本信息</w:t>
      </w:r>
      <w:r>
        <w:rPr>
          <w:rFonts w:hAnsi="宋体"/>
          <w:b/>
          <w:bCs/>
          <w:color w:val="000080"/>
          <w:sz w:val="24"/>
          <w:szCs w:val="24"/>
        </w:rPr>
        <w:t xml:space="preserve"> Basic information</w:t>
      </w:r>
      <w:r>
        <w:rPr>
          <w:rFonts w:hint="eastAsia" w:hAnsi="宋体"/>
          <w:b/>
          <w:bCs/>
          <w:color w:val="000080"/>
          <w:sz w:val="24"/>
          <w:szCs w:val="24"/>
        </w:rPr>
        <w:t>课程目标</w:t>
      </w:r>
    </w:p>
    <w:p>
      <w:pPr>
        <w:spacing w:before="100" w:beforeAutospacing="1" w:after="100" w:afterAutospacing="1"/>
        <w:ind w:firstLine="360" w:firstLineChars="200"/>
        <w:contextualSpacing/>
        <w:rPr>
          <w:color w:val="000000"/>
          <w:sz w:val="18"/>
          <w:szCs w:val="18"/>
        </w:rPr>
      </w:pPr>
      <w:r>
        <w:rPr>
          <w:rFonts w:hint="eastAsia"/>
          <w:color w:val="000000"/>
          <w:sz w:val="18"/>
          <w:szCs w:val="18"/>
        </w:rPr>
        <w:t>科技的蓬勃发展，如数字化、人工智能、区块链等技术的出现，已经为传统的法律制度、司法实践带来了新的挑战。对于以民商法为核心的司法体系而言，我们更需要主动地关注、思考和引导新的科学技术运用过程中产生的新问题。同时，更好的制度构建也有助于科技更好地服务经济社会的发展。</w:t>
      </w:r>
    </w:p>
    <w:p>
      <w:pPr>
        <w:spacing w:before="100" w:beforeAutospacing="1" w:after="100" w:afterAutospacing="1"/>
        <w:ind w:firstLine="360" w:firstLineChars="200"/>
        <w:contextualSpacing/>
        <w:rPr>
          <w:rFonts w:eastAsia="仿宋_GB2312"/>
          <w:sz w:val="24"/>
        </w:rPr>
      </w:pPr>
      <w:r>
        <w:rPr>
          <w:rFonts w:hint="eastAsia"/>
          <w:color w:val="000000"/>
          <w:sz w:val="18"/>
          <w:szCs w:val="18"/>
        </w:rPr>
        <w:t>本门课程通过邀请世界著名的比较法学者来华教学，可以使得师生们更为深刻地了解国际范围内科技创新与法律规制的发展动态与相关问题。通过大量的案例、阅读材料与学者授课来启发师生思考，针对性地研究科技创新与法律制度之间的关系。</w:t>
      </w:r>
    </w:p>
    <w:p>
      <w:pPr>
        <w:spacing w:before="100" w:beforeAutospacing="1" w:after="100" w:afterAutospacing="1"/>
        <w:rPr>
          <w:b/>
          <w:bCs/>
          <w:color w:val="000080"/>
          <w:sz w:val="24"/>
          <w:szCs w:val="24"/>
        </w:rPr>
      </w:pPr>
    </w:p>
    <w:p>
      <w:pPr>
        <w:spacing w:before="100" w:beforeAutospacing="1" w:after="100" w:afterAutospacing="1"/>
        <w:rPr>
          <w:b/>
          <w:bCs/>
          <w:color w:val="000080"/>
          <w:sz w:val="24"/>
          <w:szCs w:val="24"/>
        </w:rPr>
      </w:pPr>
      <w:r>
        <w:rPr>
          <w:b/>
          <w:bCs/>
          <w:color w:val="000080"/>
          <w:sz w:val="24"/>
          <w:szCs w:val="24"/>
        </w:rPr>
        <w:t>Learning Goals</w:t>
      </w:r>
    </w:p>
    <w:p>
      <w:pPr>
        <w:spacing w:before="100" w:beforeAutospacing="1" w:after="100" w:afterAutospacing="1"/>
        <w:ind w:firstLine="360" w:firstLineChars="200"/>
        <w:contextualSpacing/>
        <w:rPr>
          <w:color w:val="000000"/>
          <w:sz w:val="18"/>
          <w:szCs w:val="18"/>
        </w:rPr>
      </w:pPr>
      <w:r>
        <w:rPr>
          <w:color w:val="000000"/>
          <w:sz w:val="18"/>
          <w:szCs w:val="18"/>
        </w:rPr>
        <w:t>The rapid development of science and technology, such as digitization, artificial intelligence, block-chain and other technologies, has created new challenges to the traditional legal system and judicial practice. For the judicial system with civil and commercial law as the core, we need to pay more attention to, think about and guide the new problems arising from the application of new science and technology. At the same time, a better system construction will help science and technology serve the development of economy and society better.</w:t>
      </w:r>
    </w:p>
    <w:p>
      <w:pPr>
        <w:spacing w:before="100" w:beforeAutospacing="1" w:after="100" w:afterAutospacing="1"/>
        <w:ind w:firstLine="360" w:firstLineChars="200"/>
        <w:contextualSpacing/>
        <w:rPr>
          <w:color w:val="000000"/>
          <w:sz w:val="18"/>
          <w:szCs w:val="18"/>
        </w:rPr>
      </w:pPr>
      <w:r>
        <w:rPr>
          <w:color w:val="000000"/>
          <w:sz w:val="18"/>
          <w:szCs w:val="18"/>
        </w:rPr>
        <w:t>Through inviting world-famous comparative law scholars to teach in China, this course will enable teachers and students to have a deeper understanding of the international development of scientific and technological innovation and legal regulation. Through a large number of cases, reading materials and scholars' lectures</w:t>
      </w:r>
      <w:r>
        <w:rPr>
          <w:rFonts w:hint="eastAsia"/>
          <w:color w:val="000000"/>
          <w:sz w:val="18"/>
          <w:szCs w:val="18"/>
        </w:rPr>
        <w:t>，it</w:t>
      </w:r>
      <w:r>
        <w:rPr>
          <w:color w:val="000000"/>
          <w:sz w:val="18"/>
          <w:szCs w:val="18"/>
        </w:rPr>
        <w:t xml:space="preserve"> inspire</w:t>
      </w:r>
      <w:r>
        <w:rPr>
          <w:rFonts w:hint="eastAsia"/>
          <w:color w:val="000000"/>
          <w:sz w:val="18"/>
          <w:szCs w:val="18"/>
        </w:rPr>
        <w:t>s</w:t>
      </w:r>
      <w:r>
        <w:rPr>
          <w:color w:val="000000"/>
          <w:sz w:val="18"/>
          <w:szCs w:val="18"/>
        </w:rPr>
        <w:t xml:space="preserve"> teachers and students to study the relationship between technological innovation and legal system.</w:t>
      </w:r>
    </w:p>
    <w:p>
      <w:pPr>
        <w:spacing w:before="100" w:beforeAutospacing="1" w:after="100" w:afterAutospacing="1"/>
        <w:contextualSpacing/>
        <w:rPr>
          <w:color w:val="000000"/>
          <w:sz w:val="18"/>
          <w:szCs w:val="18"/>
        </w:rPr>
      </w:pPr>
    </w:p>
    <w:p>
      <w:pPr>
        <w:spacing w:before="100" w:beforeAutospacing="1" w:after="100" w:afterAutospacing="1"/>
        <w:contextualSpacing/>
        <w:rPr>
          <w:rFonts w:ascii="仿宋_GB2312" w:hAnsi="宋体" w:eastAsia="仿宋_GB2312" w:cs="宋体"/>
          <w:kern w:val="0"/>
          <w:sz w:val="24"/>
          <w:szCs w:val="24"/>
        </w:rPr>
      </w:pPr>
      <w:r>
        <w:rPr>
          <w:rFonts w:hint="eastAsia" w:hAnsi="宋体"/>
          <w:b/>
          <w:bCs/>
          <w:color w:val="000080"/>
          <w:sz w:val="24"/>
          <w:szCs w:val="24"/>
        </w:rPr>
        <w:t>课程内容</w:t>
      </w:r>
    </w:p>
    <w:p>
      <w:pPr>
        <w:rPr>
          <w:color w:val="000000"/>
          <w:sz w:val="18"/>
          <w:szCs w:val="18"/>
        </w:rPr>
      </w:pPr>
      <w:r>
        <w:rPr>
          <w:rFonts w:hint="eastAsia"/>
          <w:color w:val="000000"/>
          <w:sz w:val="18"/>
          <w:szCs w:val="18"/>
        </w:rPr>
        <w:t>共</w:t>
      </w:r>
      <w:r>
        <w:rPr>
          <w:color w:val="000000"/>
          <w:sz w:val="18"/>
          <w:szCs w:val="18"/>
        </w:rPr>
        <w:t>3</w:t>
      </w:r>
      <w:r>
        <w:rPr>
          <w:rFonts w:hint="eastAsia"/>
          <w:color w:val="000000"/>
          <w:sz w:val="18"/>
          <w:szCs w:val="18"/>
        </w:rPr>
        <w:t>2个课时，8次课，每次课</w:t>
      </w:r>
      <w:r>
        <w:rPr>
          <w:color w:val="000000"/>
          <w:sz w:val="18"/>
          <w:szCs w:val="18"/>
        </w:rPr>
        <w:t>4</w:t>
      </w:r>
      <w:r>
        <w:rPr>
          <w:rFonts w:hint="eastAsia"/>
          <w:color w:val="000000"/>
          <w:sz w:val="18"/>
          <w:szCs w:val="18"/>
        </w:rPr>
        <w:t>小时</w:t>
      </w:r>
      <w:r>
        <w:rPr>
          <w:color w:val="000000"/>
          <w:sz w:val="18"/>
          <w:szCs w:val="18"/>
        </w:rPr>
        <w:t xml:space="preserve">, </w:t>
      </w:r>
    </w:p>
    <w:p>
      <w:pPr>
        <w:rPr>
          <w:color w:val="000000"/>
          <w:sz w:val="18"/>
          <w:szCs w:val="18"/>
        </w:rPr>
      </w:pPr>
      <w:r>
        <w:rPr>
          <w:rFonts w:hint="eastAsia"/>
          <w:color w:val="000000"/>
          <w:sz w:val="18"/>
          <w:szCs w:val="18"/>
        </w:rPr>
        <w:t>第一课</w:t>
      </w:r>
      <w:r>
        <w:rPr>
          <w:color w:val="000000"/>
          <w:sz w:val="18"/>
          <w:szCs w:val="18"/>
        </w:rPr>
        <w:t xml:space="preserve"> </w:t>
      </w:r>
      <w:r>
        <w:rPr>
          <w:rFonts w:hint="eastAsia"/>
          <w:color w:val="000000"/>
          <w:sz w:val="18"/>
          <w:szCs w:val="18"/>
        </w:rPr>
        <w:t>法律科技简介：历史、定义、使用案例和可能的未来（2022.10.10 18:00-21:00）</w:t>
      </w:r>
    </w:p>
    <w:p>
      <w:pPr>
        <w:rPr>
          <w:color w:val="000000"/>
          <w:sz w:val="18"/>
          <w:szCs w:val="18"/>
        </w:rPr>
      </w:pPr>
      <w:r>
        <w:rPr>
          <w:rFonts w:hint="eastAsia"/>
          <w:color w:val="000000"/>
          <w:sz w:val="18"/>
          <w:szCs w:val="18"/>
        </w:rPr>
        <w:t xml:space="preserve">第二课 基于区块链的智能合同和智能争议解决（2022.10.12 </w:t>
      </w:r>
      <w:r>
        <w:rPr>
          <w:color w:val="000000"/>
          <w:sz w:val="18"/>
          <w:szCs w:val="18"/>
        </w:rPr>
        <w:t>18:00-21:00</w:t>
      </w:r>
      <w:r>
        <w:rPr>
          <w:rFonts w:hint="eastAsia"/>
          <w:color w:val="000000"/>
          <w:sz w:val="18"/>
          <w:szCs w:val="18"/>
        </w:rPr>
        <w:t>）</w:t>
      </w:r>
    </w:p>
    <w:p>
      <w:pPr>
        <w:rPr>
          <w:color w:val="000000"/>
          <w:sz w:val="18"/>
          <w:szCs w:val="18"/>
        </w:rPr>
      </w:pPr>
      <w:r>
        <w:rPr>
          <w:rFonts w:hint="eastAsia"/>
          <w:color w:val="000000"/>
          <w:sz w:val="18"/>
          <w:szCs w:val="18"/>
        </w:rPr>
        <w:t>第三课 法律科技平台和合同生成器：商业模式、司法救济、法律科技应用之责任（2022.10.13 18:00-21:00）</w:t>
      </w:r>
    </w:p>
    <w:p>
      <w:pPr>
        <w:rPr>
          <w:color w:val="000000"/>
          <w:sz w:val="18"/>
          <w:szCs w:val="18"/>
        </w:rPr>
      </w:pPr>
      <w:r>
        <w:rPr>
          <w:rFonts w:hint="eastAsia"/>
          <w:color w:val="000000"/>
          <w:sz w:val="18"/>
          <w:szCs w:val="18"/>
        </w:rPr>
        <w:t>第四课</w:t>
      </w:r>
      <w:r>
        <w:rPr>
          <w:color w:val="000000"/>
          <w:sz w:val="18"/>
          <w:szCs w:val="18"/>
        </w:rPr>
        <w:t xml:space="preserve"> </w:t>
      </w:r>
      <w:r>
        <w:rPr>
          <w:rFonts w:hint="eastAsia"/>
          <w:color w:val="000000"/>
          <w:sz w:val="18"/>
          <w:szCs w:val="18"/>
        </w:rPr>
        <w:t xml:space="preserve">法院对法律科技的应用：从打卡机到机器人法官（2022.10.14 </w:t>
      </w:r>
      <w:r>
        <w:rPr>
          <w:color w:val="000000"/>
          <w:sz w:val="18"/>
          <w:szCs w:val="18"/>
        </w:rPr>
        <w:t>18:00-21:00</w:t>
      </w:r>
      <w:r>
        <w:rPr>
          <w:rFonts w:hint="eastAsia"/>
          <w:color w:val="000000"/>
          <w:sz w:val="18"/>
          <w:szCs w:val="18"/>
        </w:rPr>
        <w:t>）</w:t>
      </w:r>
    </w:p>
    <w:p>
      <w:pPr>
        <w:rPr>
          <w:color w:val="000000"/>
          <w:sz w:val="18"/>
          <w:szCs w:val="18"/>
        </w:rPr>
      </w:pPr>
      <w:r>
        <w:rPr>
          <w:rFonts w:hint="eastAsia"/>
          <w:color w:val="000000"/>
          <w:sz w:val="18"/>
          <w:szCs w:val="18"/>
        </w:rPr>
        <w:t>第五课</w:t>
      </w:r>
      <w:r>
        <w:rPr>
          <w:color w:val="000000"/>
          <w:sz w:val="18"/>
          <w:szCs w:val="18"/>
        </w:rPr>
        <w:t xml:space="preserve"> </w:t>
      </w:r>
      <w:r>
        <w:rPr>
          <w:rFonts w:hint="eastAsia"/>
          <w:color w:val="000000"/>
          <w:sz w:val="18"/>
          <w:szCs w:val="18"/>
        </w:rPr>
        <w:t xml:space="preserve">数字化与消费者法：新的创新特点（2022.11.26 </w:t>
      </w:r>
      <w:r>
        <w:rPr>
          <w:color w:val="000000"/>
          <w:sz w:val="18"/>
          <w:szCs w:val="18"/>
        </w:rPr>
        <w:t>18:00-21:00</w:t>
      </w:r>
      <w:r>
        <w:rPr>
          <w:rFonts w:hint="eastAsia"/>
          <w:color w:val="000000"/>
          <w:sz w:val="18"/>
          <w:szCs w:val="18"/>
        </w:rPr>
        <w:t>）</w:t>
      </w:r>
    </w:p>
    <w:p>
      <w:pPr>
        <w:rPr>
          <w:color w:val="000000"/>
          <w:sz w:val="18"/>
          <w:szCs w:val="18"/>
        </w:rPr>
      </w:pPr>
      <w:r>
        <w:rPr>
          <w:rFonts w:hint="eastAsia"/>
          <w:color w:val="000000"/>
          <w:sz w:val="18"/>
          <w:szCs w:val="18"/>
        </w:rPr>
        <w:t>第六课</w:t>
      </w:r>
      <w:r>
        <w:rPr>
          <w:color w:val="000000"/>
          <w:sz w:val="18"/>
          <w:szCs w:val="18"/>
        </w:rPr>
        <w:t xml:space="preserve"> </w:t>
      </w:r>
      <w:r>
        <w:rPr>
          <w:rFonts w:hint="eastAsia"/>
          <w:color w:val="000000"/>
          <w:sz w:val="18"/>
          <w:szCs w:val="18"/>
        </w:rPr>
        <w:t xml:space="preserve">数字化与国际销售法：旧法律遇见新技术（2022.11.27 </w:t>
      </w:r>
      <w:r>
        <w:rPr>
          <w:color w:val="000000"/>
          <w:sz w:val="18"/>
          <w:szCs w:val="18"/>
        </w:rPr>
        <w:t>18:00-21:00</w:t>
      </w:r>
      <w:r>
        <w:rPr>
          <w:rFonts w:hint="eastAsia"/>
          <w:color w:val="000000"/>
          <w:sz w:val="18"/>
          <w:szCs w:val="18"/>
        </w:rPr>
        <w:t>）</w:t>
      </w:r>
    </w:p>
    <w:p>
      <w:pPr>
        <w:rPr>
          <w:color w:val="000000"/>
          <w:sz w:val="18"/>
          <w:szCs w:val="18"/>
        </w:rPr>
      </w:pPr>
      <w:r>
        <w:rPr>
          <w:rFonts w:hint="eastAsia"/>
          <w:color w:val="000000"/>
          <w:sz w:val="18"/>
          <w:szCs w:val="18"/>
        </w:rPr>
        <w:t>第七课</w:t>
      </w:r>
      <w:r>
        <w:rPr>
          <w:color w:val="000000"/>
          <w:sz w:val="18"/>
          <w:szCs w:val="18"/>
        </w:rPr>
        <w:t xml:space="preserve"> </w:t>
      </w:r>
      <w:r>
        <w:rPr>
          <w:rFonts w:hint="eastAsia"/>
          <w:color w:val="000000"/>
          <w:sz w:val="18"/>
          <w:szCs w:val="18"/>
        </w:rPr>
        <w:t xml:space="preserve">人工智能与合同法（2022.12.09 </w:t>
      </w:r>
      <w:r>
        <w:rPr>
          <w:color w:val="000000"/>
          <w:sz w:val="18"/>
          <w:szCs w:val="18"/>
        </w:rPr>
        <w:t>18:00-21:00</w:t>
      </w:r>
      <w:r>
        <w:rPr>
          <w:rFonts w:hint="eastAsia"/>
          <w:color w:val="000000"/>
          <w:sz w:val="18"/>
          <w:szCs w:val="18"/>
        </w:rPr>
        <w:t>）</w:t>
      </w:r>
    </w:p>
    <w:p>
      <w:pPr>
        <w:rPr>
          <w:color w:val="FF0000"/>
          <w:sz w:val="18"/>
          <w:szCs w:val="18"/>
        </w:rPr>
      </w:pPr>
      <w:r>
        <w:rPr>
          <w:rFonts w:hint="eastAsia"/>
          <w:color w:val="000000"/>
          <w:sz w:val="18"/>
          <w:szCs w:val="18"/>
        </w:rPr>
        <w:t xml:space="preserve">第八课 人工智能与侵权法（2022.12.10 </w:t>
      </w:r>
      <w:r>
        <w:rPr>
          <w:color w:val="000000"/>
          <w:sz w:val="18"/>
          <w:szCs w:val="18"/>
        </w:rPr>
        <w:t>18:00-21:00</w:t>
      </w:r>
      <w:r>
        <w:rPr>
          <w:rFonts w:hint="eastAsia"/>
          <w:color w:val="000000"/>
          <w:sz w:val="18"/>
          <w:szCs w:val="18"/>
        </w:rPr>
        <w:t>）</w:t>
      </w:r>
    </w:p>
    <w:p>
      <w:pPr>
        <w:spacing w:before="100" w:beforeAutospacing="1" w:after="100" w:afterAutospacing="1"/>
        <w:jc w:val="left"/>
        <w:rPr>
          <w:rFonts w:hAnsi="宋体"/>
          <w:b/>
          <w:bCs/>
          <w:color w:val="000080"/>
          <w:sz w:val="24"/>
          <w:szCs w:val="24"/>
        </w:rPr>
      </w:pPr>
      <w:r>
        <w:rPr>
          <w:rFonts w:hAnsi="宋体"/>
          <w:b/>
          <w:bCs/>
          <w:color w:val="000080"/>
          <w:sz w:val="24"/>
          <w:szCs w:val="24"/>
        </w:rPr>
        <w:t>Content</w:t>
      </w:r>
    </w:p>
    <w:p>
      <w:pPr>
        <w:rPr>
          <w:color w:val="000000"/>
          <w:sz w:val="18"/>
          <w:szCs w:val="18"/>
        </w:rPr>
      </w:pPr>
      <w:r>
        <w:rPr>
          <w:color w:val="000000"/>
          <w:sz w:val="18"/>
          <w:szCs w:val="18"/>
        </w:rPr>
        <w:t>1.</w:t>
      </w:r>
      <w:r>
        <w:rPr>
          <w:color w:val="000000"/>
          <w:sz w:val="18"/>
          <w:szCs w:val="18"/>
        </w:rPr>
        <w:tab/>
      </w:r>
      <w:r>
        <w:rPr>
          <w:color w:val="000000"/>
          <w:sz w:val="18"/>
          <w:szCs w:val="18"/>
        </w:rPr>
        <w:t>Introduction to Legal Tech: History, Definition, Use Cases, and Possible Future (10 October 2022, 18:00-21:00)</w:t>
      </w:r>
    </w:p>
    <w:p>
      <w:pPr>
        <w:rPr>
          <w:color w:val="000000"/>
          <w:sz w:val="18"/>
          <w:szCs w:val="18"/>
        </w:rPr>
      </w:pPr>
      <w:r>
        <w:rPr>
          <w:color w:val="000000"/>
          <w:sz w:val="18"/>
          <w:szCs w:val="18"/>
        </w:rPr>
        <w:t>2.</w:t>
      </w:r>
      <w:r>
        <w:rPr>
          <w:color w:val="000000"/>
          <w:sz w:val="18"/>
          <w:szCs w:val="18"/>
        </w:rPr>
        <w:tab/>
      </w:r>
      <w:r>
        <w:rPr>
          <w:color w:val="000000"/>
          <w:sz w:val="18"/>
          <w:szCs w:val="18"/>
        </w:rPr>
        <w:t>Blockchain-based Smart Contracts and Smart Dispute Resolution (12 October 2022, 18:00-21:00)</w:t>
      </w:r>
    </w:p>
    <w:p>
      <w:pPr>
        <w:rPr>
          <w:color w:val="000000"/>
          <w:sz w:val="18"/>
          <w:szCs w:val="18"/>
        </w:rPr>
      </w:pPr>
      <w:r>
        <w:rPr>
          <w:color w:val="000000"/>
          <w:sz w:val="18"/>
          <w:szCs w:val="18"/>
        </w:rPr>
        <w:t>3.</w:t>
      </w:r>
      <w:r>
        <w:rPr>
          <w:color w:val="000000"/>
          <w:sz w:val="18"/>
          <w:szCs w:val="18"/>
        </w:rPr>
        <w:tab/>
      </w:r>
      <w:r>
        <w:rPr>
          <w:color w:val="000000"/>
          <w:sz w:val="18"/>
          <w:szCs w:val="18"/>
        </w:rPr>
        <w:t>Legal Tech-Platforms and Contract Generators: Business Models, Access to Justice, Liability for Legal Tech-Applications (13 October 2022, 18:00-21:00)</w:t>
      </w:r>
    </w:p>
    <w:p>
      <w:pPr>
        <w:rPr>
          <w:color w:val="000000"/>
          <w:sz w:val="18"/>
          <w:szCs w:val="18"/>
        </w:rPr>
      </w:pPr>
      <w:r>
        <w:rPr>
          <w:color w:val="000000"/>
          <w:sz w:val="18"/>
          <w:szCs w:val="18"/>
        </w:rPr>
        <w:t>4.</w:t>
      </w:r>
      <w:r>
        <w:rPr>
          <w:color w:val="000000"/>
          <w:sz w:val="18"/>
          <w:szCs w:val="18"/>
        </w:rPr>
        <w:tab/>
      </w:r>
      <w:r>
        <w:rPr>
          <w:color w:val="000000"/>
          <w:sz w:val="18"/>
          <w:szCs w:val="18"/>
        </w:rPr>
        <w:t>Use of Legal Tech by Courts: From Punch Card to Robo-Judge (14 October 2022, 18:00-21:00)</w:t>
      </w:r>
    </w:p>
    <w:p>
      <w:pPr>
        <w:rPr>
          <w:color w:val="000000"/>
          <w:sz w:val="18"/>
          <w:szCs w:val="18"/>
        </w:rPr>
      </w:pPr>
      <w:r>
        <w:rPr>
          <w:color w:val="000000"/>
          <w:sz w:val="18"/>
          <w:szCs w:val="18"/>
        </w:rPr>
        <w:t>5.</w:t>
      </w:r>
      <w:r>
        <w:rPr>
          <w:color w:val="000000"/>
          <w:sz w:val="18"/>
          <w:szCs w:val="18"/>
        </w:rPr>
        <w:tab/>
      </w:r>
      <w:r>
        <w:rPr>
          <w:color w:val="000000"/>
          <w:sz w:val="18"/>
          <w:szCs w:val="18"/>
        </w:rPr>
        <w:t>Digitalization and Consumer Law: New Innovative Features (26 November 2022, 18:00-21:00)</w:t>
      </w:r>
    </w:p>
    <w:p>
      <w:pPr>
        <w:rPr>
          <w:color w:val="000000"/>
          <w:sz w:val="18"/>
          <w:szCs w:val="18"/>
        </w:rPr>
      </w:pPr>
      <w:r>
        <w:rPr>
          <w:color w:val="000000"/>
          <w:sz w:val="18"/>
          <w:szCs w:val="18"/>
        </w:rPr>
        <w:t>6.</w:t>
      </w:r>
      <w:r>
        <w:rPr>
          <w:color w:val="000000"/>
          <w:sz w:val="18"/>
          <w:szCs w:val="18"/>
        </w:rPr>
        <w:tab/>
      </w:r>
      <w:r>
        <w:rPr>
          <w:color w:val="000000"/>
          <w:sz w:val="18"/>
          <w:szCs w:val="18"/>
        </w:rPr>
        <w:t>Digitalization and International Sales Law: “Old” Law Meets New Technology (27 November 2022, 18:00-21:00)</w:t>
      </w:r>
    </w:p>
    <w:p>
      <w:pPr>
        <w:rPr>
          <w:color w:val="000000"/>
          <w:sz w:val="18"/>
          <w:szCs w:val="18"/>
        </w:rPr>
      </w:pPr>
      <w:r>
        <w:rPr>
          <w:color w:val="000000"/>
          <w:sz w:val="18"/>
          <w:szCs w:val="18"/>
        </w:rPr>
        <w:t>7.</w:t>
      </w:r>
      <w:r>
        <w:rPr>
          <w:color w:val="000000"/>
          <w:sz w:val="18"/>
          <w:szCs w:val="18"/>
        </w:rPr>
        <w:tab/>
      </w:r>
      <w:r>
        <w:rPr>
          <w:color w:val="000000"/>
          <w:sz w:val="18"/>
          <w:szCs w:val="18"/>
        </w:rPr>
        <w:t>Artificial Intelligence and Contract Law (9 December 2022, 18:00-21:00)</w:t>
      </w:r>
    </w:p>
    <w:p>
      <w:pPr>
        <w:rPr>
          <w:color w:val="000000"/>
          <w:sz w:val="18"/>
          <w:szCs w:val="18"/>
        </w:rPr>
      </w:pPr>
      <w:r>
        <w:rPr>
          <w:color w:val="000000"/>
          <w:sz w:val="18"/>
          <w:szCs w:val="18"/>
        </w:rPr>
        <w:t>8.</w:t>
      </w:r>
      <w:r>
        <w:rPr>
          <w:color w:val="000000"/>
          <w:sz w:val="18"/>
          <w:szCs w:val="18"/>
        </w:rPr>
        <w:tab/>
      </w:r>
      <w:r>
        <w:rPr>
          <w:color w:val="000000"/>
          <w:sz w:val="18"/>
          <w:szCs w:val="18"/>
        </w:rPr>
        <w:t>Artificial Intelligence and Tort Law (10 December 2022, 18:00-21:00)</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81E07"/>
    <w:rsid w:val="00002C7C"/>
    <w:rsid w:val="00002E1A"/>
    <w:rsid w:val="00094152"/>
    <w:rsid w:val="001656CC"/>
    <w:rsid w:val="00262528"/>
    <w:rsid w:val="0027731E"/>
    <w:rsid w:val="002A11E5"/>
    <w:rsid w:val="002B4CBF"/>
    <w:rsid w:val="00301F29"/>
    <w:rsid w:val="003059A3"/>
    <w:rsid w:val="0037167B"/>
    <w:rsid w:val="00373A8F"/>
    <w:rsid w:val="003E3CAF"/>
    <w:rsid w:val="00403857"/>
    <w:rsid w:val="00497066"/>
    <w:rsid w:val="00521824"/>
    <w:rsid w:val="00573DE5"/>
    <w:rsid w:val="00603BF8"/>
    <w:rsid w:val="00614D0F"/>
    <w:rsid w:val="007F37FB"/>
    <w:rsid w:val="00893969"/>
    <w:rsid w:val="00965940"/>
    <w:rsid w:val="00A70FA5"/>
    <w:rsid w:val="00AA2BBC"/>
    <w:rsid w:val="00B837F9"/>
    <w:rsid w:val="00BB07C3"/>
    <w:rsid w:val="00C257F7"/>
    <w:rsid w:val="00CD447F"/>
    <w:rsid w:val="00D3481C"/>
    <w:rsid w:val="00E5587E"/>
    <w:rsid w:val="00F00BFF"/>
    <w:rsid w:val="00F15128"/>
    <w:rsid w:val="00F248F6"/>
    <w:rsid w:val="00FA0577"/>
    <w:rsid w:val="3EBC1443"/>
    <w:rsid w:val="50B81E07"/>
    <w:rsid w:val="69E3037E"/>
    <w:rsid w:val="6D7E92ED"/>
    <w:rsid w:val="F7C6848F"/>
    <w:rsid w:val="FBFFE420"/>
    <w:rsid w:val="FF9FCC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qFormat/>
    <w:locked/>
    <w:uiPriority w:val="99"/>
    <w:rPr>
      <w:rFonts w:ascii="Times New Roman" w:hAnsi="Times New Roman" w:cs="Times New Roman"/>
      <w:sz w:val="18"/>
      <w:szCs w:val="18"/>
    </w:rPr>
  </w:style>
  <w:style w:type="character" w:customStyle="1" w:styleId="7">
    <w:name w:val="页眉 Char"/>
    <w:link w:val="3"/>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611</Words>
  <Characters>3484</Characters>
  <Lines>29</Lines>
  <Paragraphs>8</Paragraphs>
  <TotalTime>747</TotalTime>
  <ScaleCrop>false</ScaleCrop>
  <LinksUpToDate>false</LinksUpToDate>
  <CharactersWithSpaces>4087</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2021-12-16T00:52:00Z</dcterms:created>
  <dc:creator>田华</dc:creator>
  <cp:lastModifiedBy>邓淑娅</cp:lastModifiedBy>
  <dcterms:modified xsi:type="dcterms:W3CDTF">2022-08-31T17:32:33Z</dcterms:modified>
  <dc:title>附件3</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62FC3E68D8531FB69D230F637280B004</vt:lpwstr>
  </property>
</Properties>
</file>