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92A9D0">
      <w:pPr>
        <w:ind w:firstLine="1"/>
        <w:jc w:val="center"/>
        <w:rPr>
          <w:rFonts w:hAnsi="宋体"/>
          <w:b/>
          <w:bCs/>
          <w:sz w:val="32"/>
          <w:szCs w:val="32"/>
        </w:rPr>
      </w:pPr>
      <w:bookmarkStart w:id="5" w:name="_GoBack"/>
      <w:bookmarkEnd w:id="5"/>
      <w:r>
        <w:rPr>
          <w:rFonts w:hint="eastAsia" w:hAnsi="宋体"/>
          <w:b/>
          <w:bCs/>
          <w:sz w:val="32"/>
          <w:szCs w:val="32"/>
        </w:rPr>
        <w:t>数字资产的法律规制</w:t>
      </w:r>
    </w:p>
    <w:p w14:paraId="50394952">
      <w:pPr>
        <w:spacing w:before="100" w:beforeAutospacing="1" w:after="100" w:afterAutospacing="1"/>
        <w:jc w:val="center"/>
        <w:rPr>
          <w:rFonts w:hAnsi="宋体"/>
          <w:b/>
          <w:bCs/>
          <w:sz w:val="28"/>
          <w:szCs w:val="28"/>
        </w:rPr>
      </w:pPr>
      <w:r>
        <w:rPr>
          <w:rFonts w:hAnsi="宋体"/>
          <w:b/>
          <w:bCs/>
          <w:sz w:val="28"/>
          <w:szCs w:val="28"/>
        </w:rPr>
        <w:t>Crypto</w:t>
      </w:r>
      <w:r>
        <w:rPr>
          <w:rFonts w:hint="eastAsia" w:hAnsi="宋体"/>
          <w:b/>
          <w:bCs/>
          <w:sz w:val="28"/>
          <w:szCs w:val="28"/>
        </w:rPr>
        <w:t xml:space="preserve"> L</w:t>
      </w:r>
      <w:r>
        <w:rPr>
          <w:rFonts w:hAnsi="宋体"/>
          <w:b/>
          <w:bCs/>
          <w:sz w:val="28"/>
          <w:szCs w:val="28"/>
        </w:rPr>
        <w:t>aw</w:t>
      </w:r>
    </w:p>
    <w:p w14:paraId="6C4B7B76">
      <w:pPr>
        <w:spacing w:before="100" w:beforeAutospacing="1" w:after="100" w:afterAutospacing="1"/>
        <w:rPr>
          <w:rFonts w:hAnsi="宋体"/>
          <w:b/>
          <w:bCs/>
          <w:color w:val="000080"/>
          <w:sz w:val="24"/>
          <w:szCs w:val="24"/>
        </w:rPr>
      </w:pPr>
      <w:r>
        <w:rPr>
          <w:rFonts w:hint="eastAsia" w:hAnsi="宋体"/>
          <w:b/>
          <w:bCs/>
          <w:color w:val="000080"/>
          <w:sz w:val="24"/>
          <w:szCs w:val="24"/>
        </w:rPr>
        <w:t>课程主讲人简介</w:t>
      </w:r>
    </w:p>
    <w:p w14:paraId="2431AEF9">
      <w:pPr>
        <w:spacing w:after="160" w:line="276" w:lineRule="auto"/>
        <w:ind w:firstLine="360" w:firstLineChars="200"/>
        <w:rPr>
          <w:rFonts w:hAnsi="宋体"/>
          <w:color w:val="FF0000"/>
          <w:sz w:val="18"/>
          <w:szCs w:val="18"/>
        </w:rPr>
      </w:pPr>
      <w:r>
        <w:rPr>
          <w:rFonts w:hint="eastAsia" w:asciiTheme="majorEastAsia" w:hAnsiTheme="majorEastAsia" w:eastAsiaTheme="majorEastAsia" w:cstheme="majorEastAsia"/>
          <w:color w:val="000000"/>
          <w:sz w:val="18"/>
          <w:szCs w:val="18"/>
        </w:rPr>
        <w:t>马可·戈尔多尼（Marco Goldoni）是格拉斯哥大学法学院的法理学教授，同时担任法学院国际化事务主任以及法理学学科负责人。他著有《多元主义的遗产》（与M. Croce合著，斯坦福大学出版社，2020年）和《法律秩序的物质性》（剑桥大学出版社，2022年），并合编了《剑桥唯物主义宪法手册》（剑桥大学出版社，2023年）。戈尔多尼教授是期刊《法理学》（Taylor &amp; Francis）的联合主编，同时主编Routledge出版社的“法律与政治”丛书以及剑桥大学出版社的“法律与政治经济学”丛书。他的研究领域包括法理学、区块链法、宪法学以及法律与政治经济学。</w:t>
      </w:r>
    </w:p>
    <w:p w14:paraId="75597EE2">
      <w:pPr>
        <w:spacing w:before="100" w:beforeAutospacing="1" w:after="100" w:afterAutospacing="1"/>
        <w:rPr>
          <w:rFonts w:hAnsi="宋体"/>
          <w:b/>
          <w:bCs/>
          <w:color w:val="000080"/>
          <w:sz w:val="24"/>
          <w:szCs w:val="24"/>
        </w:rPr>
      </w:pPr>
      <w:bookmarkStart w:id="0" w:name="OLE_LINK5"/>
      <w:bookmarkStart w:id="1" w:name="OLE_LINK4"/>
      <w:bookmarkStart w:id="2" w:name="OLE_LINK2"/>
      <w:bookmarkStart w:id="3" w:name="OLE_LINK1"/>
      <w:r>
        <w:rPr>
          <w:rFonts w:hAnsi="宋体"/>
          <w:b/>
          <w:bCs/>
          <w:color w:val="000080"/>
          <w:sz w:val="24"/>
          <w:szCs w:val="24"/>
        </w:rPr>
        <w:t>Profile</w:t>
      </w:r>
      <w:bookmarkEnd w:id="0"/>
      <w:bookmarkEnd w:id="1"/>
    </w:p>
    <w:bookmarkEnd w:id="2"/>
    <w:bookmarkEnd w:id="3"/>
    <w:p w14:paraId="72B3B90C">
      <w:pPr>
        <w:spacing w:after="160" w:line="276" w:lineRule="auto"/>
        <w:ind w:firstLine="360" w:firstLineChars="200"/>
        <w:rPr>
          <w:color w:val="000000"/>
          <w:sz w:val="18"/>
          <w:szCs w:val="18"/>
        </w:rPr>
      </w:pPr>
      <w:r>
        <w:rPr>
          <w:rFonts w:hint="default" w:asciiTheme="minorAscii" w:hAnsiTheme="minorAscii"/>
          <w:color w:val="000000"/>
          <w:sz w:val="18"/>
          <w:szCs w:val="18"/>
        </w:rPr>
        <w:t xml:space="preserve">Marco Goldoni is professor of Philosophy of Law at the Law School of the University of Glasgow. He also acts as Internationalisation Director for Glasgow Law School and as the Subject Lead for Legal Theory. He is the author (with M. Croce) of </w:t>
      </w:r>
      <w:r>
        <w:rPr>
          <w:rFonts w:hint="default" w:asciiTheme="minorAscii" w:hAnsiTheme="minorAscii"/>
          <w:i/>
          <w:iCs/>
          <w:color w:val="000000"/>
          <w:sz w:val="18"/>
          <w:szCs w:val="18"/>
        </w:rPr>
        <w:t xml:space="preserve">The Legacy of Pluralism </w:t>
      </w:r>
      <w:r>
        <w:rPr>
          <w:rFonts w:hint="default" w:asciiTheme="minorAscii" w:hAnsiTheme="minorAscii"/>
          <w:color w:val="000000"/>
          <w:sz w:val="18"/>
          <w:szCs w:val="18"/>
        </w:rPr>
        <w:t xml:space="preserve">(Stanford University Press, 2020) and </w:t>
      </w:r>
      <w:r>
        <w:rPr>
          <w:rFonts w:hint="default" w:asciiTheme="minorAscii" w:hAnsiTheme="minorAscii"/>
          <w:i/>
          <w:iCs/>
          <w:color w:val="000000"/>
          <w:sz w:val="18"/>
          <w:szCs w:val="18"/>
        </w:rPr>
        <w:t xml:space="preserve">The Materiality of the Legal Order </w:t>
      </w:r>
      <w:r>
        <w:rPr>
          <w:rFonts w:hint="default" w:asciiTheme="minorAscii" w:hAnsiTheme="minorAscii"/>
          <w:color w:val="000000"/>
          <w:sz w:val="18"/>
          <w:szCs w:val="18"/>
        </w:rPr>
        <w:t xml:space="preserve">(Cambridge University Press, 2022). He has co-edited the volume </w:t>
      </w:r>
      <w:r>
        <w:rPr>
          <w:rFonts w:hint="default" w:asciiTheme="minorAscii" w:hAnsiTheme="minorAscii"/>
          <w:i/>
          <w:iCs/>
          <w:color w:val="000000"/>
          <w:sz w:val="18"/>
          <w:szCs w:val="18"/>
        </w:rPr>
        <w:t>The Cambridge Handbook on the Material Constitution</w:t>
      </w:r>
      <w:r>
        <w:rPr>
          <w:rFonts w:hint="default" w:asciiTheme="minorAscii" w:hAnsiTheme="minorAscii"/>
          <w:color w:val="000000"/>
          <w:sz w:val="18"/>
          <w:szCs w:val="18"/>
        </w:rPr>
        <w:t xml:space="preserve"> (Cambridge University Press, 2023). Prof. Goldoni is co-editor in chief of the journal </w:t>
      </w:r>
      <w:r>
        <w:rPr>
          <w:rFonts w:hint="default" w:asciiTheme="minorAscii" w:hAnsiTheme="minorAscii"/>
          <w:i/>
          <w:iCs/>
          <w:color w:val="000000"/>
          <w:sz w:val="18"/>
          <w:szCs w:val="18"/>
        </w:rPr>
        <w:t xml:space="preserve">Jurisprudence </w:t>
      </w:r>
      <w:r>
        <w:rPr>
          <w:rFonts w:hint="default" w:asciiTheme="minorAscii" w:hAnsiTheme="minorAscii"/>
          <w:color w:val="000000"/>
          <w:sz w:val="18"/>
          <w:szCs w:val="18"/>
        </w:rPr>
        <w:t xml:space="preserve">(Taylor &amp; Francis) and of the book series </w:t>
      </w:r>
      <w:r>
        <w:rPr>
          <w:rFonts w:hint="default" w:asciiTheme="minorAscii" w:hAnsiTheme="minorAscii"/>
          <w:i/>
          <w:iCs/>
          <w:color w:val="000000"/>
          <w:sz w:val="18"/>
          <w:szCs w:val="18"/>
        </w:rPr>
        <w:t xml:space="preserve">Law &amp; Politics </w:t>
      </w:r>
      <w:r>
        <w:rPr>
          <w:rFonts w:hint="default" w:asciiTheme="minorAscii" w:hAnsiTheme="minorAscii"/>
          <w:color w:val="000000"/>
          <w:sz w:val="18"/>
          <w:szCs w:val="18"/>
        </w:rPr>
        <w:t xml:space="preserve">(Routledge) and </w:t>
      </w:r>
      <w:r>
        <w:rPr>
          <w:rFonts w:hint="default" w:asciiTheme="minorAscii" w:hAnsiTheme="minorAscii"/>
          <w:i/>
          <w:iCs/>
          <w:color w:val="000000"/>
          <w:sz w:val="18"/>
          <w:szCs w:val="18"/>
        </w:rPr>
        <w:t xml:space="preserve">Law &amp; Political Economy </w:t>
      </w:r>
      <w:r>
        <w:rPr>
          <w:rFonts w:hint="default" w:asciiTheme="minorAscii" w:hAnsiTheme="minorAscii"/>
          <w:color w:val="000000"/>
          <w:sz w:val="18"/>
          <w:szCs w:val="18"/>
        </w:rPr>
        <w:t>(Cambridge University Press). His research interests are in Philosophy of Law, Law of Blockchains, Constitutional Law, Law &amp; Political Economy.</w:t>
      </w:r>
    </w:p>
    <w:tbl>
      <w:tblPr>
        <w:tblStyle w:val="3"/>
        <w:tblpPr w:leftFromText="180" w:rightFromText="180" w:vertAnchor="text" w:horzAnchor="margin" w:tblpX="74" w:tblpY="7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6"/>
        <w:gridCol w:w="4678"/>
      </w:tblGrid>
      <w:tr w14:paraId="1FE836AB">
        <w:trPr>
          <w:trHeight w:val="472" w:hRule="atLeast"/>
        </w:trPr>
        <w:tc>
          <w:tcPr>
            <w:tcW w:w="3686" w:type="dxa"/>
            <w:shd w:val="clear" w:color="auto" w:fill="B8CCE4"/>
            <w:vAlign w:val="center"/>
          </w:tcPr>
          <w:p w14:paraId="6D72DFE2">
            <w:pPr>
              <w:spacing w:after="160"/>
              <w:rPr>
                <w:b/>
                <w:bCs/>
                <w:color w:val="1F497D"/>
                <w:sz w:val="15"/>
                <w:szCs w:val="15"/>
              </w:rPr>
            </w:pPr>
            <w:r>
              <w:rPr>
                <w:rFonts w:hAnsi="宋体"/>
                <w:b/>
                <w:bCs/>
                <w:color w:val="1F497D"/>
                <w:sz w:val="15"/>
                <w:szCs w:val="15"/>
              </w:rPr>
              <w:t>院系</w:t>
            </w:r>
            <w:r>
              <w:rPr>
                <w:b/>
                <w:bCs/>
                <w:color w:val="1F497D"/>
                <w:sz w:val="15"/>
                <w:szCs w:val="15"/>
              </w:rPr>
              <w:t xml:space="preserve"> </w:t>
            </w:r>
            <w:r>
              <w:rPr>
                <w:rFonts w:hint="eastAsia"/>
                <w:b/>
                <w:bCs/>
                <w:color w:val="1F497D"/>
                <w:sz w:val="15"/>
                <w:szCs w:val="15"/>
              </w:rPr>
              <w:t xml:space="preserve"> </w:t>
            </w:r>
            <w:r>
              <w:rPr>
                <w:b/>
                <w:bCs/>
                <w:color w:val="1F497D"/>
                <w:sz w:val="15"/>
                <w:szCs w:val="15"/>
              </w:rPr>
              <w:t>School</w:t>
            </w:r>
          </w:p>
        </w:tc>
        <w:tc>
          <w:tcPr>
            <w:tcW w:w="4678" w:type="dxa"/>
            <w:vAlign w:val="center"/>
          </w:tcPr>
          <w:p w14:paraId="4983410A">
            <w:pPr>
              <w:spacing w:after="160"/>
              <w:rPr>
                <w:rFonts w:hint="default" w:eastAsia="宋体"/>
                <w:color w:val="000000"/>
                <w:sz w:val="15"/>
                <w:szCs w:val="15"/>
                <w:lang w:val="en-US" w:eastAsia="zh-CN"/>
              </w:rPr>
            </w:pPr>
            <w:r>
              <w:rPr>
                <w:rFonts w:hint="eastAsia"/>
                <w:color w:val="000000"/>
                <w:sz w:val="15"/>
                <w:szCs w:val="15"/>
                <w:lang w:val="en-US" w:eastAsia="zh-CN"/>
              </w:rPr>
              <w:t>法律学院</w:t>
            </w:r>
          </w:p>
        </w:tc>
      </w:tr>
      <w:tr w14:paraId="65B7B78D">
        <w:trPr>
          <w:trHeight w:val="472" w:hRule="atLeast"/>
        </w:trPr>
        <w:tc>
          <w:tcPr>
            <w:tcW w:w="3686" w:type="dxa"/>
            <w:shd w:val="clear" w:color="auto" w:fill="B8CCE4"/>
            <w:vAlign w:val="center"/>
          </w:tcPr>
          <w:p w14:paraId="2570D195">
            <w:pPr>
              <w:spacing w:after="160"/>
              <w:rPr>
                <w:b/>
                <w:bCs/>
                <w:color w:val="1F497D"/>
                <w:sz w:val="15"/>
                <w:szCs w:val="15"/>
              </w:rPr>
            </w:pPr>
            <w:r>
              <w:rPr>
                <w:rFonts w:hAnsi="宋体"/>
                <w:b/>
                <w:bCs/>
                <w:color w:val="1F497D"/>
                <w:sz w:val="15"/>
                <w:szCs w:val="15"/>
              </w:rPr>
              <w:t>学科门类</w:t>
            </w:r>
            <w:r>
              <w:rPr>
                <w:b/>
                <w:bCs/>
                <w:color w:val="1F497D"/>
                <w:sz w:val="15"/>
                <w:szCs w:val="15"/>
              </w:rPr>
              <w:t xml:space="preserve"> Fields of Study</w:t>
            </w:r>
          </w:p>
        </w:tc>
        <w:tc>
          <w:tcPr>
            <w:tcW w:w="4678" w:type="dxa"/>
            <w:vAlign w:val="center"/>
          </w:tcPr>
          <w:p w14:paraId="4987CB00">
            <w:pPr>
              <w:spacing w:after="160"/>
              <w:rPr>
                <w:rFonts w:hint="default" w:eastAsia="宋体"/>
                <w:color w:val="000000"/>
                <w:sz w:val="15"/>
                <w:szCs w:val="15"/>
                <w:lang w:val="en-US" w:eastAsia="zh-CN"/>
              </w:rPr>
            </w:pPr>
            <w:r>
              <w:rPr>
                <w:rFonts w:hint="eastAsia"/>
                <w:color w:val="000000"/>
                <w:sz w:val="15"/>
                <w:szCs w:val="15"/>
                <w:lang w:val="en-US" w:eastAsia="zh-CN"/>
              </w:rPr>
              <w:t>法学理论</w:t>
            </w:r>
          </w:p>
        </w:tc>
      </w:tr>
      <w:tr w14:paraId="71AC4199">
        <w:trPr>
          <w:trHeight w:val="472" w:hRule="atLeast"/>
        </w:trPr>
        <w:tc>
          <w:tcPr>
            <w:tcW w:w="3686" w:type="dxa"/>
            <w:shd w:val="clear" w:color="auto" w:fill="B8CCE4"/>
            <w:vAlign w:val="center"/>
          </w:tcPr>
          <w:p w14:paraId="0AC11E1A">
            <w:pPr>
              <w:spacing w:after="160"/>
              <w:rPr>
                <w:b/>
                <w:bCs/>
                <w:color w:val="1F497D"/>
                <w:sz w:val="15"/>
                <w:szCs w:val="15"/>
              </w:rPr>
            </w:pPr>
            <w:r>
              <w:rPr>
                <w:rFonts w:hAnsi="宋体"/>
                <w:b/>
                <w:bCs/>
                <w:color w:val="1F497D"/>
                <w:sz w:val="15"/>
                <w:szCs w:val="15"/>
              </w:rPr>
              <w:t>所属一级学科名称</w:t>
            </w:r>
            <w:r>
              <w:rPr>
                <w:b/>
                <w:bCs/>
                <w:color w:val="1F497D"/>
                <w:sz w:val="15"/>
                <w:szCs w:val="15"/>
              </w:rPr>
              <w:t xml:space="preserve"> Disciplines</w:t>
            </w:r>
          </w:p>
        </w:tc>
        <w:tc>
          <w:tcPr>
            <w:tcW w:w="4678" w:type="dxa"/>
            <w:vAlign w:val="center"/>
          </w:tcPr>
          <w:p w14:paraId="185C79E5">
            <w:pPr>
              <w:spacing w:after="160"/>
              <w:rPr>
                <w:color w:val="000000"/>
                <w:sz w:val="15"/>
                <w:szCs w:val="15"/>
              </w:rPr>
            </w:pPr>
            <w:r>
              <w:rPr>
                <w:rFonts w:hint="eastAsia"/>
                <w:color w:val="000000"/>
                <w:sz w:val="15"/>
                <w:szCs w:val="15"/>
              </w:rPr>
              <w:t>法学</w:t>
            </w:r>
          </w:p>
        </w:tc>
      </w:tr>
      <w:tr w14:paraId="663C62F0">
        <w:trPr>
          <w:trHeight w:val="472" w:hRule="atLeast"/>
        </w:trPr>
        <w:tc>
          <w:tcPr>
            <w:tcW w:w="3686" w:type="dxa"/>
            <w:shd w:val="clear" w:color="auto" w:fill="B8CCE4"/>
            <w:vAlign w:val="center"/>
          </w:tcPr>
          <w:p w14:paraId="45ADC19E">
            <w:pPr>
              <w:spacing w:after="160"/>
              <w:rPr>
                <w:b/>
                <w:bCs/>
                <w:color w:val="1F497D"/>
                <w:sz w:val="15"/>
                <w:szCs w:val="15"/>
              </w:rPr>
            </w:pPr>
            <w:r>
              <w:rPr>
                <w:rFonts w:hAnsi="宋体"/>
                <w:b/>
                <w:bCs/>
                <w:color w:val="1F497D"/>
                <w:sz w:val="15"/>
                <w:szCs w:val="15"/>
              </w:rPr>
              <w:t>所属二级学科名称</w:t>
            </w:r>
            <w:r>
              <w:rPr>
                <w:b/>
                <w:bCs/>
                <w:color w:val="1F497D"/>
                <w:sz w:val="15"/>
                <w:szCs w:val="15"/>
              </w:rPr>
              <w:t xml:space="preserve"> Sub-Disciplines</w:t>
            </w:r>
          </w:p>
        </w:tc>
        <w:tc>
          <w:tcPr>
            <w:tcW w:w="4678" w:type="dxa"/>
            <w:vAlign w:val="center"/>
          </w:tcPr>
          <w:p w14:paraId="151CF62D">
            <w:pPr>
              <w:spacing w:after="160"/>
              <w:rPr>
                <w:color w:val="000000"/>
                <w:sz w:val="15"/>
                <w:szCs w:val="15"/>
              </w:rPr>
            </w:pPr>
            <w:r>
              <w:rPr>
                <w:rFonts w:hint="eastAsia"/>
                <w:color w:val="000000"/>
                <w:sz w:val="15"/>
                <w:szCs w:val="15"/>
                <w:lang w:val="en-US" w:eastAsia="zh-CN"/>
              </w:rPr>
              <w:t>法学</w:t>
            </w:r>
            <w:r>
              <w:rPr>
                <w:rFonts w:hint="eastAsia"/>
                <w:color w:val="000000"/>
                <w:sz w:val="15"/>
                <w:szCs w:val="15"/>
              </w:rPr>
              <w:t>理论、数字法学</w:t>
            </w:r>
          </w:p>
        </w:tc>
      </w:tr>
      <w:tr w14:paraId="40548DFD">
        <w:trPr>
          <w:trHeight w:val="472" w:hRule="atLeast"/>
        </w:trPr>
        <w:tc>
          <w:tcPr>
            <w:tcW w:w="3686" w:type="dxa"/>
            <w:shd w:val="clear" w:color="auto" w:fill="B8CCE4"/>
            <w:vAlign w:val="center"/>
          </w:tcPr>
          <w:p w14:paraId="6061776B">
            <w:pPr>
              <w:spacing w:after="160"/>
              <w:rPr>
                <w:rFonts w:hAnsi="宋体"/>
                <w:b/>
                <w:bCs/>
                <w:color w:val="1F497D"/>
                <w:sz w:val="15"/>
                <w:szCs w:val="15"/>
              </w:rPr>
            </w:pPr>
            <w:r>
              <w:rPr>
                <w:rFonts w:hint="eastAsia" w:hAnsi="宋体"/>
                <w:b/>
                <w:bCs/>
                <w:color w:val="1F497D"/>
                <w:sz w:val="15"/>
                <w:szCs w:val="15"/>
              </w:rPr>
              <w:t>先修课程</w:t>
            </w:r>
            <w:r>
              <w:rPr>
                <w:b/>
                <w:bCs/>
                <w:color w:val="1F497D"/>
                <w:sz w:val="15"/>
                <w:szCs w:val="15"/>
              </w:rPr>
              <w:t xml:space="preserve"> Prerequisites</w:t>
            </w:r>
          </w:p>
        </w:tc>
        <w:tc>
          <w:tcPr>
            <w:tcW w:w="4678" w:type="dxa"/>
            <w:vAlign w:val="center"/>
          </w:tcPr>
          <w:p w14:paraId="6693CA58">
            <w:pPr>
              <w:spacing w:after="160"/>
              <w:rPr>
                <w:rFonts w:hint="eastAsia" w:ascii="宋体" w:hAnsi="宋体" w:eastAsia="宋体" w:cs="宋体"/>
                <w:color w:val="000000"/>
                <w:sz w:val="15"/>
                <w:szCs w:val="15"/>
              </w:rPr>
            </w:pPr>
            <w:r>
              <w:rPr>
                <w:rFonts w:hint="eastAsia" w:ascii="宋体" w:hAnsi="宋体" w:eastAsia="宋体" w:cs="宋体"/>
                <w:color w:val="000000"/>
                <w:sz w:val="15"/>
                <w:szCs w:val="15"/>
              </w:rPr>
              <w:t>法理学、民法总论</w:t>
            </w:r>
          </w:p>
        </w:tc>
      </w:tr>
      <w:tr w14:paraId="0230C62C">
        <w:trPr>
          <w:trHeight w:val="472" w:hRule="atLeast"/>
        </w:trPr>
        <w:tc>
          <w:tcPr>
            <w:tcW w:w="3686" w:type="dxa"/>
            <w:shd w:val="clear" w:color="auto" w:fill="B8CCE4"/>
            <w:vAlign w:val="center"/>
          </w:tcPr>
          <w:p w14:paraId="07678676">
            <w:pPr>
              <w:spacing w:after="160" w:line="240" w:lineRule="exact"/>
              <w:rPr>
                <w:b/>
                <w:bCs/>
                <w:color w:val="1F497D"/>
                <w:sz w:val="15"/>
                <w:szCs w:val="15"/>
              </w:rPr>
            </w:pPr>
            <w:r>
              <w:rPr>
                <w:rFonts w:hAnsi="宋体"/>
                <w:b/>
                <w:bCs/>
                <w:color w:val="1F497D"/>
                <w:sz w:val="15"/>
                <w:szCs w:val="15"/>
              </w:rPr>
              <w:t>选课对象</w:t>
            </w:r>
            <w:r>
              <w:rPr>
                <w:b/>
                <w:bCs/>
                <w:color w:val="1F497D"/>
                <w:sz w:val="15"/>
                <w:szCs w:val="15"/>
              </w:rPr>
              <w:t xml:space="preserve"> Registration Recommendations</w:t>
            </w:r>
          </w:p>
        </w:tc>
        <w:tc>
          <w:tcPr>
            <w:tcW w:w="4678" w:type="dxa"/>
            <w:vAlign w:val="center"/>
          </w:tcPr>
          <w:p w14:paraId="0FC7B450">
            <w:pPr>
              <w:spacing w:after="160"/>
              <w:rPr>
                <w:rFonts w:hint="eastAsia" w:ascii="宋体" w:hAnsi="宋体" w:eastAsia="宋体" w:cs="宋体"/>
                <w:color w:val="000000"/>
                <w:sz w:val="15"/>
                <w:szCs w:val="15"/>
              </w:rPr>
            </w:pPr>
            <w:r>
              <w:rPr>
                <w:rFonts w:hint="eastAsia" w:ascii="宋体" w:hAnsi="宋体" w:eastAsia="宋体" w:cs="宋体"/>
                <w:color w:val="000000"/>
                <w:sz w:val="15"/>
                <w:szCs w:val="15"/>
              </w:rPr>
              <w:t>本科生二年级及以上；研究生</w:t>
            </w:r>
          </w:p>
        </w:tc>
      </w:tr>
      <w:tr w14:paraId="23AD9AA5">
        <w:trPr>
          <w:trHeight w:val="472" w:hRule="atLeast"/>
        </w:trPr>
        <w:tc>
          <w:tcPr>
            <w:tcW w:w="3686" w:type="dxa"/>
            <w:shd w:val="clear" w:color="auto" w:fill="B8CCE4"/>
            <w:vAlign w:val="center"/>
          </w:tcPr>
          <w:p w14:paraId="7F7A046D">
            <w:pPr>
              <w:spacing w:after="160" w:line="240" w:lineRule="exact"/>
              <w:rPr>
                <w:rFonts w:hAnsi="宋体"/>
                <w:b/>
                <w:bCs/>
                <w:color w:val="1F497D"/>
                <w:sz w:val="15"/>
                <w:szCs w:val="15"/>
              </w:rPr>
            </w:pPr>
            <w:r>
              <w:rPr>
                <w:rFonts w:hAnsi="宋体"/>
                <w:b/>
                <w:bCs/>
                <w:color w:val="1F497D"/>
                <w:sz w:val="15"/>
                <w:szCs w:val="15"/>
              </w:rPr>
              <w:t>课时与学分 Lecture Hours &amp; Credits</w:t>
            </w:r>
          </w:p>
        </w:tc>
        <w:tc>
          <w:tcPr>
            <w:tcW w:w="4678" w:type="dxa"/>
            <w:vAlign w:val="center"/>
          </w:tcPr>
          <w:p w14:paraId="694A3E31">
            <w:pPr>
              <w:spacing w:after="160" w:line="240" w:lineRule="exact"/>
              <w:rPr>
                <w:rFonts w:hint="eastAsia" w:ascii="宋体" w:hAnsi="宋体" w:eastAsia="宋体" w:cs="宋体"/>
                <w:b/>
                <w:bCs/>
                <w:color w:val="000000"/>
                <w:sz w:val="15"/>
                <w:szCs w:val="15"/>
              </w:rPr>
            </w:pPr>
            <w:r>
              <w:rPr>
                <w:rFonts w:hint="eastAsia" w:ascii="宋体" w:hAnsi="宋体" w:eastAsia="宋体" w:cs="宋体"/>
                <w:bCs/>
                <w:color w:val="000000"/>
                <w:sz w:val="15"/>
                <w:szCs w:val="15"/>
              </w:rPr>
              <w:t>36学时；</w:t>
            </w:r>
            <w:r>
              <w:rPr>
                <w:rFonts w:hint="eastAsia" w:ascii="宋体" w:hAnsi="宋体" w:eastAsia="宋体" w:cs="宋体"/>
                <w:bCs/>
                <w:color w:val="000000"/>
                <w:sz w:val="15"/>
                <w:szCs w:val="15"/>
                <w:lang w:val="en-US" w:eastAsia="zh-CN"/>
              </w:rPr>
              <w:t>2</w:t>
            </w:r>
            <w:r>
              <w:rPr>
                <w:rFonts w:hint="eastAsia" w:ascii="宋体" w:hAnsi="宋体" w:eastAsia="宋体" w:cs="宋体"/>
                <w:bCs/>
                <w:color w:val="000000"/>
                <w:sz w:val="15"/>
                <w:szCs w:val="15"/>
              </w:rPr>
              <w:t>学分</w:t>
            </w:r>
            <w:r>
              <w:rPr>
                <w:rFonts w:hint="eastAsia" w:ascii="宋体" w:hAnsi="宋体" w:eastAsia="宋体" w:cs="宋体"/>
                <w:b/>
                <w:bCs/>
                <w:color w:val="000000"/>
                <w:sz w:val="15"/>
                <w:szCs w:val="15"/>
              </w:rPr>
              <w:t xml:space="preserve"> </w:t>
            </w:r>
          </w:p>
        </w:tc>
      </w:tr>
      <w:tr w14:paraId="58D00018">
        <w:trPr>
          <w:trHeight w:val="472" w:hRule="atLeast"/>
        </w:trPr>
        <w:tc>
          <w:tcPr>
            <w:tcW w:w="3686" w:type="dxa"/>
            <w:shd w:val="clear" w:color="auto" w:fill="B8CCE4"/>
            <w:vAlign w:val="center"/>
          </w:tcPr>
          <w:p w14:paraId="45DDB3A1">
            <w:pPr>
              <w:spacing w:after="160"/>
              <w:rPr>
                <w:b/>
                <w:bCs/>
                <w:color w:val="1F497D"/>
                <w:sz w:val="15"/>
                <w:szCs w:val="15"/>
              </w:rPr>
            </w:pPr>
            <w:r>
              <w:rPr>
                <w:rFonts w:hint="eastAsia" w:hAnsi="宋体"/>
                <w:b/>
                <w:bCs/>
                <w:color w:val="1F497D"/>
                <w:sz w:val="15"/>
                <w:szCs w:val="15"/>
              </w:rPr>
              <w:t>授课语言</w:t>
            </w:r>
            <w:r>
              <w:rPr>
                <w:b/>
                <w:bCs/>
                <w:color w:val="1F497D"/>
                <w:sz w:val="15"/>
                <w:szCs w:val="15"/>
              </w:rPr>
              <w:t xml:space="preserve"> </w:t>
            </w:r>
            <w:r>
              <w:rPr>
                <w:rFonts w:hint="eastAsia"/>
                <w:b/>
                <w:bCs/>
                <w:color w:val="1F497D"/>
                <w:sz w:val="15"/>
                <w:szCs w:val="15"/>
              </w:rPr>
              <w:t>Language taught</w:t>
            </w:r>
          </w:p>
        </w:tc>
        <w:tc>
          <w:tcPr>
            <w:tcW w:w="4678" w:type="dxa"/>
            <w:vAlign w:val="center"/>
          </w:tcPr>
          <w:p w14:paraId="1F9A8A23">
            <w:pPr>
              <w:spacing w:after="160"/>
              <w:rPr>
                <w:rFonts w:hint="eastAsia" w:ascii="宋体" w:hAnsi="宋体" w:eastAsia="宋体" w:cs="宋体"/>
                <w:color w:val="000000"/>
                <w:sz w:val="15"/>
                <w:szCs w:val="15"/>
              </w:rPr>
            </w:pPr>
            <w:r>
              <w:rPr>
                <w:rFonts w:hint="eastAsia" w:ascii="宋体" w:hAnsi="宋体" w:eastAsia="宋体" w:cs="宋体"/>
                <w:color w:val="000000"/>
                <w:sz w:val="15"/>
                <w:szCs w:val="15"/>
              </w:rPr>
              <w:t>英语 English</w:t>
            </w:r>
          </w:p>
        </w:tc>
      </w:tr>
    </w:tbl>
    <w:p w14:paraId="5E9BBF7A">
      <w:pPr>
        <w:spacing w:before="100" w:beforeAutospacing="1" w:after="100" w:afterAutospacing="1"/>
        <w:rPr>
          <w:rFonts w:hAnsi="宋体"/>
          <w:b/>
          <w:bCs/>
          <w:color w:val="000080"/>
          <w:sz w:val="24"/>
          <w:szCs w:val="24"/>
        </w:rPr>
      </w:pPr>
      <w:r>
        <w:rPr>
          <w:rFonts w:hint="eastAsia" w:hAnsi="宋体"/>
          <w:b/>
          <w:bCs/>
          <w:color w:val="000080"/>
          <w:sz w:val="24"/>
          <w:szCs w:val="24"/>
        </w:rPr>
        <w:t xml:space="preserve">基本信息 </w:t>
      </w:r>
      <w:r>
        <w:rPr>
          <w:rFonts w:hAnsi="宋体"/>
          <w:b/>
          <w:bCs/>
          <w:color w:val="000080"/>
          <w:sz w:val="24"/>
          <w:szCs w:val="24"/>
        </w:rPr>
        <w:t>Basic information</w:t>
      </w:r>
    </w:p>
    <w:p w14:paraId="72CC7B6D">
      <w:pPr>
        <w:spacing w:before="100" w:beforeAutospacing="1" w:after="100" w:afterAutospacing="1"/>
        <w:rPr>
          <w:rFonts w:hAnsi="宋体"/>
          <w:b/>
          <w:bCs/>
          <w:color w:val="000080"/>
          <w:sz w:val="24"/>
          <w:szCs w:val="24"/>
        </w:rPr>
      </w:pPr>
      <w:r>
        <w:rPr>
          <w:rFonts w:hAnsi="宋体"/>
          <w:b/>
          <w:bCs/>
          <w:color w:val="000080"/>
          <w:sz w:val="28"/>
          <w:szCs w:val="28"/>
        </w:rPr>
        <w:br w:type="page"/>
      </w:r>
      <w:r>
        <w:rPr>
          <w:rFonts w:hAnsi="宋体"/>
          <w:b/>
          <w:bCs/>
          <w:color w:val="000080"/>
          <w:sz w:val="24"/>
          <w:szCs w:val="24"/>
        </w:rPr>
        <w:t>课程目标</w:t>
      </w:r>
    </w:p>
    <w:p w14:paraId="7118183B">
      <w:pPr>
        <w:spacing w:before="100" w:beforeAutospacing="1" w:after="100" w:afterAutospacing="1"/>
        <w:rPr>
          <w:rFonts w:hAnsi="宋体"/>
          <w:color w:val="000000"/>
          <w:sz w:val="18"/>
          <w:szCs w:val="18"/>
        </w:rPr>
      </w:pPr>
      <w:r>
        <w:rPr>
          <w:rFonts w:hint="eastAsia" w:hAnsi="宋体"/>
          <w:color w:val="000000"/>
          <w:sz w:val="18"/>
          <w:szCs w:val="18"/>
        </w:rPr>
        <w:t>本课程在“法律与科技”的背景下，提供区块链法与加密资产法的入门介绍，旨在帮助学生理解区块链技术及其监管方式，并培养批判性思维以评估其影响。课程结束时，学生将：掌握区块链的基本原理及相关法律讨论；从比较法角度了解不同法域的监管路径；识别各类加密资产的法律性质；并具备伦理分析能力，能够评估其引发的道德问题。</w:t>
      </w:r>
    </w:p>
    <w:p w14:paraId="70C83B33">
      <w:pPr>
        <w:spacing w:before="100" w:beforeAutospacing="1" w:after="100" w:afterAutospacing="1"/>
        <w:rPr>
          <w:b/>
          <w:bCs/>
          <w:color w:val="000080"/>
          <w:sz w:val="24"/>
          <w:szCs w:val="24"/>
        </w:rPr>
      </w:pPr>
      <w:r>
        <w:rPr>
          <w:b/>
          <w:bCs/>
          <w:color w:val="000080"/>
          <w:sz w:val="24"/>
          <w:szCs w:val="24"/>
        </w:rPr>
        <w:t>Learning Goals</w:t>
      </w:r>
    </w:p>
    <w:p w14:paraId="7E97E01A">
      <w:pPr>
        <w:spacing w:after="160"/>
        <w:ind w:firstLine="360" w:firstLineChars="200"/>
        <w:rPr>
          <w:rFonts w:hint="default" w:asciiTheme="minorAscii" w:hAnsiTheme="minorAscii"/>
          <w:color w:val="000000"/>
          <w:kern w:val="0"/>
          <w:sz w:val="18"/>
          <w:szCs w:val="18"/>
        </w:rPr>
      </w:pPr>
      <w:bookmarkStart w:id="4" w:name="OLE_LINK3"/>
      <w:r>
        <w:rPr>
          <w:rFonts w:hint="default" w:asciiTheme="minorAscii" w:hAnsiTheme="minorAscii"/>
          <w:color w:val="000000"/>
          <w:sz w:val="18"/>
          <w:szCs w:val="18"/>
        </w:rPr>
        <w:t>This course is designed to give to students an introduction to the law of blockchains and of crypto-assets within the wider perspective of the Law &amp; Technology field. Therefore, the course’s aims are twofold: to provide students with solid knowledge about this technology, the way it is regulated and the current debate on how it should be regulated and promoted. At the same time, the course provides students with instruments for approaching critically the impact of blockchains and the . By the end of the course, students will know (1) the basics of the blockchain technology and the legal debate that has developed in the Law &amp; Technology field after the emergence of cryptoassets; (2) students will be able to read and understand from a comparative perspective how different jurisdictions are addressing the question of blockchain’s regulation (including policy-making, case law and legislation); (3) students will be able to navigate and understand the legal nuances of a multiplicity of crypto-assets and will understand how to recognize their legal nature; (4) students will develop ethical reasoning skills which will allow them to assess the moral profiles of different cryptoassets.</w:t>
      </w:r>
    </w:p>
    <w:bookmarkEnd w:id="4"/>
    <w:p w14:paraId="38E0B4CA">
      <w:pPr>
        <w:spacing w:before="100" w:beforeAutospacing="1" w:after="100" w:afterAutospacing="1"/>
        <w:rPr>
          <w:rFonts w:ascii="仿宋_GB2312" w:hAnsi="宋体" w:eastAsia="仿宋_GB2312" w:cs="宋体"/>
          <w:kern w:val="0"/>
          <w:sz w:val="24"/>
          <w:szCs w:val="24"/>
        </w:rPr>
      </w:pPr>
      <w:r>
        <w:rPr>
          <w:rFonts w:hint="eastAsia" w:hAnsi="宋体"/>
          <w:b/>
          <w:bCs/>
          <w:color w:val="000080"/>
          <w:sz w:val="24"/>
          <w:szCs w:val="24"/>
        </w:rPr>
        <w:t>课程内容</w:t>
      </w:r>
    </w:p>
    <w:p w14:paraId="4F9EB2AC">
      <w:pPr>
        <w:ind w:firstLine="360" w:firstLineChars="200"/>
        <w:rPr>
          <w:rFonts w:hint="eastAsia" w:asciiTheme="minorEastAsia" w:hAnsiTheme="minorEastAsia" w:eastAsiaTheme="minorEastAsia" w:cstheme="minorEastAsia"/>
          <w:color w:val="000000"/>
          <w:sz w:val="18"/>
          <w:szCs w:val="18"/>
        </w:rPr>
      </w:pPr>
      <w:r>
        <w:rPr>
          <w:rFonts w:hint="default" w:asciiTheme="minorEastAsia" w:hAnsiTheme="minorEastAsia" w:eastAsiaTheme="minorEastAsia" w:cstheme="minorEastAsia"/>
          <w:color w:val="000000"/>
          <w:sz w:val="18"/>
          <w:szCs w:val="18"/>
          <w:lang w:val="en-US"/>
        </w:rPr>
        <w:t>8</w:t>
      </w:r>
      <w:r>
        <w:rPr>
          <w:rFonts w:hint="eastAsia" w:asciiTheme="minorEastAsia" w:hAnsiTheme="minorEastAsia" w:eastAsiaTheme="minorEastAsia" w:cstheme="minorEastAsia"/>
          <w:color w:val="000000"/>
          <w:sz w:val="18"/>
          <w:szCs w:val="18"/>
        </w:rPr>
        <w:t>次研讨课（每次 3 小时）</w:t>
      </w:r>
    </w:p>
    <w:p w14:paraId="56550C02">
      <w:pPr>
        <w:ind w:firstLine="360" w:firstLineChars="200"/>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研讨课1: 总体框架与基础概念——“代码即法律”是什么？什么是“区块链”？ 货币与资产是什么？</w:t>
      </w:r>
    </w:p>
    <w:p w14:paraId="28683088">
      <w:pPr>
        <w:ind w:firstLine="360" w:firstLineChars="200"/>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研讨课2: 区块链的法律与政治经济——加密资产资本市场及其监管</w:t>
      </w:r>
    </w:p>
    <w:p w14:paraId="227A3377">
      <w:pPr>
        <w:ind w:firstLine="360" w:firstLineChars="200"/>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研讨课3: 论加密货币的法律性质：货币、证券还是财产？</w:t>
      </w:r>
      <w:r>
        <w:rPr>
          <w:rFonts w:hint="eastAsia" w:asciiTheme="minorEastAsia" w:hAnsiTheme="minorEastAsia" w:eastAsiaTheme="minorEastAsia" w:cstheme="minorEastAsia"/>
          <w:color w:val="000000"/>
          <w:sz w:val="18"/>
          <w:szCs w:val="18"/>
          <w:lang w:val="en-US" w:eastAsia="zh-CN"/>
        </w:rPr>
        <w:t>以及</w:t>
      </w:r>
      <w:r>
        <w:rPr>
          <w:rFonts w:hint="eastAsia" w:asciiTheme="minorEastAsia" w:hAnsiTheme="minorEastAsia" w:eastAsiaTheme="minorEastAsia" w:cstheme="minorEastAsia"/>
          <w:color w:val="000000"/>
          <w:sz w:val="18"/>
          <w:szCs w:val="18"/>
        </w:rPr>
        <w:t>欧盟判例法</w:t>
      </w:r>
    </w:p>
    <w:p w14:paraId="34BB7392">
      <w:pPr>
        <w:ind w:firstLine="360" w:firstLineChars="200"/>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研讨课4: 加密货币比较判例法：英国、新西兰、香港</w:t>
      </w:r>
    </w:p>
    <w:p w14:paraId="260BCBC5">
      <w:pPr>
        <w:ind w:firstLine="360" w:firstLineChars="200"/>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研讨课5：加密资产的性质与英国法律委员会报告</w:t>
      </w:r>
    </w:p>
    <w:p w14:paraId="7FB7515A">
      <w:pPr>
        <w:ind w:firstLine="360" w:firstLineChars="200"/>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研讨课6: 如何监管加密货币以及其最新发展稳定币（美国、英国与欧盟的政策与立法）</w:t>
      </w:r>
    </w:p>
    <w:p w14:paraId="7CBDF006">
      <w:pPr>
        <w:ind w:firstLine="360" w:firstLineChars="200"/>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研讨课7: 非同质化代币（NFT）、</w:t>
      </w:r>
    </w:p>
    <w:p w14:paraId="6FCC0A2F">
      <w:pPr>
        <w:ind w:firstLine="360" w:firstLineChars="200"/>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lang w:val="en-US" w:eastAsia="zh-CN"/>
        </w:rPr>
        <w:t xml:space="preserve">研讨课8: </w:t>
      </w:r>
      <w:r>
        <w:rPr>
          <w:rFonts w:hint="eastAsia" w:asciiTheme="minorEastAsia" w:hAnsiTheme="minorEastAsia" w:eastAsiaTheme="minorEastAsia" w:cstheme="minorEastAsia"/>
          <w:color w:val="000000"/>
          <w:sz w:val="18"/>
          <w:szCs w:val="18"/>
        </w:rPr>
        <w:t>去中心化自治组织（DAO）以及与智能合约法</w:t>
      </w:r>
    </w:p>
    <w:p w14:paraId="34D0EF32">
      <w:pPr>
        <w:spacing w:before="100" w:beforeAutospacing="1" w:after="100" w:afterAutospacing="1"/>
        <w:jc w:val="left"/>
        <w:rPr>
          <w:rFonts w:hAnsi="宋体"/>
          <w:b/>
          <w:bCs/>
          <w:color w:val="000080"/>
          <w:sz w:val="24"/>
          <w:szCs w:val="24"/>
        </w:rPr>
      </w:pPr>
      <w:r>
        <w:rPr>
          <w:rFonts w:hint="eastAsia" w:hAnsi="宋体"/>
          <w:b/>
          <w:bCs/>
          <w:color w:val="000080"/>
          <w:sz w:val="24"/>
          <w:szCs w:val="24"/>
        </w:rPr>
        <w:t>Content</w:t>
      </w:r>
    </w:p>
    <w:p w14:paraId="2169A014">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heme="minorAscii" w:hAnsiTheme="minorAscii"/>
          <w:color w:val="000000"/>
          <w:sz w:val="18"/>
          <w:szCs w:val="18"/>
        </w:rPr>
      </w:pPr>
      <w:r>
        <w:rPr>
          <w:rFonts w:hint="default" w:asciiTheme="minorAscii" w:hAnsiTheme="minorAscii"/>
          <w:color w:val="000000"/>
          <w:sz w:val="18"/>
          <w:szCs w:val="18"/>
          <w:lang w:val="en-US"/>
        </w:rPr>
        <w:t>8</w:t>
      </w:r>
      <w:r>
        <w:rPr>
          <w:rFonts w:hint="default" w:asciiTheme="minorAscii" w:hAnsiTheme="minorAscii"/>
          <w:color w:val="000000"/>
          <w:sz w:val="18"/>
          <w:szCs w:val="18"/>
        </w:rPr>
        <w:t xml:space="preserve"> seminars (3 hours each)</w:t>
      </w:r>
    </w:p>
    <w:p w14:paraId="66CC2EC0">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heme="minorAscii" w:hAnsiTheme="minorAscii"/>
          <w:color w:val="000000"/>
          <w:sz w:val="18"/>
          <w:szCs w:val="18"/>
        </w:rPr>
      </w:pPr>
      <w:r>
        <w:rPr>
          <w:rFonts w:hint="default" w:asciiTheme="minorAscii" w:hAnsiTheme="minorAscii"/>
          <w:color w:val="000000"/>
          <w:sz w:val="18"/>
          <w:szCs w:val="18"/>
        </w:rPr>
        <w:t>Seminar 1: General Framework and Basic Concepts</w:t>
      </w:r>
      <w:r>
        <w:rPr>
          <w:rFonts w:hint="default" w:asciiTheme="minorAscii" w:hAnsiTheme="minorAscii"/>
          <w:color w:val="000000"/>
          <w:sz w:val="18"/>
          <w:szCs w:val="18"/>
          <w:lang w:val="en-US"/>
        </w:rPr>
        <w:t>-</w:t>
      </w:r>
      <w:r>
        <w:rPr>
          <w:rFonts w:hint="default" w:asciiTheme="minorAscii" w:hAnsiTheme="minorAscii"/>
          <w:color w:val="000000"/>
          <w:sz w:val="18"/>
          <w:szCs w:val="18"/>
        </w:rPr>
        <w:t xml:space="preserve">What is </w:t>
      </w:r>
      <w:r>
        <w:rPr>
          <w:rFonts w:hint="default" w:asciiTheme="minorAscii" w:hAnsiTheme="minorAscii"/>
          <w:color w:val="000000"/>
          <w:sz w:val="18"/>
          <w:szCs w:val="18"/>
          <w:lang w:val="en-US"/>
        </w:rPr>
        <w:t>‘</w:t>
      </w:r>
      <w:r>
        <w:rPr>
          <w:rFonts w:hint="default" w:asciiTheme="minorAscii" w:hAnsiTheme="minorAscii"/>
          <w:color w:val="000000"/>
          <w:sz w:val="18"/>
          <w:szCs w:val="18"/>
        </w:rPr>
        <w:t>Code is Law</w:t>
      </w:r>
      <w:r>
        <w:rPr>
          <w:rFonts w:hint="default" w:asciiTheme="minorAscii" w:hAnsiTheme="minorAscii"/>
          <w:color w:val="000000"/>
          <w:sz w:val="18"/>
          <w:szCs w:val="18"/>
          <w:lang w:val="en-US"/>
        </w:rPr>
        <w:t>’</w:t>
      </w:r>
      <w:r>
        <w:rPr>
          <w:rFonts w:hint="default" w:asciiTheme="minorAscii" w:hAnsiTheme="minorAscii"/>
          <w:color w:val="000000"/>
          <w:sz w:val="18"/>
          <w:szCs w:val="18"/>
        </w:rPr>
        <w:t xml:space="preserve">? What is a </w:t>
      </w:r>
      <w:r>
        <w:rPr>
          <w:rFonts w:hint="default" w:asciiTheme="minorAscii" w:hAnsiTheme="minorAscii"/>
          <w:color w:val="000000"/>
          <w:sz w:val="18"/>
          <w:szCs w:val="18"/>
          <w:lang w:val="en-US"/>
        </w:rPr>
        <w:t>‘</w:t>
      </w:r>
      <w:r>
        <w:rPr>
          <w:rFonts w:hint="default" w:asciiTheme="minorAscii" w:hAnsiTheme="minorAscii"/>
          <w:color w:val="000000"/>
          <w:sz w:val="18"/>
          <w:szCs w:val="18"/>
        </w:rPr>
        <w:t>Blockchain</w:t>
      </w:r>
      <w:r>
        <w:rPr>
          <w:rFonts w:hint="default" w:asciiTheme="minorAscii" w:hAnsiTheme="minorAscii"/>
          <w:color w:val="000000"/>
          <w:sz w:val="18"/>
          <w:szCs w:val="18"/>
          <w:lang w:val="en-US"/>
        </w:rPr>
        <w:t>’</w:t>
      </w:r>
      <w:r>
        <w:rPr>
          <w:rFonts w:hint="default" w:asciiTheme="minorAscii" w:hAnsiTheme="minorAscii"/>
          <w:color w:val="000000"/>
          <w:sz w:val="18"/>
          <w:szCs w:val="18"/>
        </w:rPr>
        <w:t>? What are Money and Assets?</w:t>
      </w:r>
    </w:p>
    <w:p w14:paraId="0D176A98">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heme="minorAscii" w:hAnsiTheme="minorAscii"/>
          <w:color w:val="000000"/>
          <w:sz w:val="18"/>
          <w:szCs w:val="18"/>
        </w:rPr>
      </w:pPr>
      <w:r>
        <w:rPr>
          <w:rFonts w:hint="default" w:asciiTheme="minorAscii" w:hAnsiTheme="minorAscii"/>
          <w:color w:val="000000"/>
          <w:sz w:val="18"/>
          <w:szCs w:val="18"/>
        </w:rPr>
        <w:t>Seminar 2: The Law and Political Economy of Blockchains – Crypto-asset Capital Markets and Their Regulation</w:t>
      </w:r>
    </w:p>
    <w:p w14:paraId="4B5B0C16">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heme="minorAscii" w:hAnsiTheme="minorAscii"/>
          <w:color w:val="000000"/>
          <w:sz w:val="18"/>
          <w:szCs w:val="18"/>
        </w:rPr>
      </w:pPr>
      <w:r>
        <w:rPr>
          <w:rFonts w:hint="default" w:asciiTheme="minorAscii" w:hAnsiTheme="minorAscii"/>
          <w:color w:val="000000"/>
          <w:sz w:val="18"/>
          <w:szCs w:val="18"/>
        </w:rPr>
        <w:t>Seminar 3: On the Legal Nature of Cryptocurrencies: Currency, Security, or Property? And EU Case Law</w:t>
      </w:r>
    </w:p>
    <w:p w14:paraId="5034CC85">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heme="minorAscii" w:hAnsiTheme="minorAscii"/>
          <w:color w:val="000000"/>
          <w:sz w:val="18"/>
          <w:szCs w:val="18"/>
        </w:rPr>
      </w:pPr>
      <w:r>
        <w:rPr>
          <w:rFonts w:hint="default" w:asciiTheme="minorAscii" w:hAnsiTheme="minorAscii"/>
          <w:color w:val="000000"/>
          <w:sz w:val="18"/>
          <w:szCs w:val="18"/>
        </w:rPr>
        <w:t>Seminar 4:</w:t>
      </w:r>
      <w:r>
        <w:rPr>
          <w:rFonts w:hint="default" w:asciiTheme="minorAscii" w:hAnsiTheme="minorAscii"/>
          <w:color w:val="000000"/>
          <w:sz w:val="18"/>
          <w:szCs w:val="18"/>
          <w:lang w:val="en-US" w:eastAsia="zh-CN"/>
        </w:rPr>
        <w:t xml:space="preserve"> </w:t>
      </w:r>
      <w:r>
        <w:rPr>
          <w:rFonts w:hint="default" w:asciiTheme="minorAscii" w:hAnsiTheme="minorAscii"/>
          <w:color w:val="000000"/>
          <w:sz w:val="18"/>
          <w:szCs w:val="18"/>
        </w:rPr>
        <w:t>Comparative Case Law over Crypto: United Kingdom, New Zealand, Hong Kong</w:t>
      </w:r>
    </w:p>
    <w:p w14:paraId="02AAE5D5">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heme="minorAscii" w:hAnsiTheme="minorAscii"/>
          <w:color w:val="000000"/>
          <w:sz w:val="18"/>
          <w:szCs w:val="18"/>
        </w:rPr>
      </w:pPr>
      <w:r>
        <w:rPr>
          <w:rFonts w:hint="default" w:asciiTheme="minorAscii" w:hAnsiTheme="minorAscii"/>
          <w:color w:val="000000"/>
          <w:sz w:val="18"/>
          <w:szCs w:val="18"/>
        </w:rPr>
        <w:t>Seminar 5:</w:t>
      </w:r>
      <w:r>
        <w:rPr>
          <w:rFonts w:hint="default" w:asciiTheme="minorAscii" w:hAnsiTheme="minorAscii"/>
          <w:color w:val="000000"/>
          <w:sz w:val="18"/>
          <w:szCs w:val="18"/>
          <w:lang w:val="en-US" w:eastAsia="zh-CN"/>
        </w:rPr>
        <w:t xml:space="preserve"> </w:t>
      </w:r>
      <w:r>
        <w:rPr>
          <w:rFonts w:hint="default" w:asciiTheme="minorAscii" w:hAnsiTheme="minorAscii"/>
          <w:color w:val="000000"/>
          <w:sz w:val="18"/>
          <w:szCs w:val="18"/>
        </w:rPr>
        <w:t>The Nature of Cryptoassets and the UK law Commission Report</w:t>
      </w:r>
    </w:p>
    <w:p w14:paraId="59072F1A">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heme="minorAscii" w:hAnsiTheme="minorAscii"/>
          <w:color w:val="000000"/>
          <w:sz w:val="18"/>
          <w:szCs w:val="18"/>
        </w:rPr>
      </w:pPr>
      <w:r>
        <w:rPr>
          <w:rFonts w:hint="default" w:asciiTheme="minorAscii" w:hAnsiTheme="minorAscii"/>
          <w:color w:val="000000"/>
          <w:sz w:val="18"/>
          <w:szCs w:val="18"/>
        </w:rPr>
        <w:t>Seminar</w:t>
      </w:r>
      <w:r>
        <w:rPr>
          <w:rFonts w:hint="default" w:asciiTheme="minorAscii" w:hAnsiTheme="minorAscii"/>
          <w:color w:val="000000"/>
          <w:sz w:val="18"/>
          <w:szCs w:val="18"/>
          <w:lang w:val="en-US"/>
        </w:rPr>
        <w:t xml:space="preserve"> </w:t>
      </w:r>
      <w:r>
        <w:rPr>
          <w:rFonts w:hint="default" w:asciiTheme="minorAscii" w:hAnsiTheme="minorAscii"/>
          <w:color w:val="000000"/>
          <w:sz w:val="18"/>
          <w:szCs w:val="18"/>
        </w:rPr>
        <w:t>6:</w:t>
      </w:r>
      <w:r>
        <w:rPr>
          <w:rFonts w:hint="default" w:asciiTheme="minorAscii" w:hAnsiTheme="minorAscii"/>
          <w:color w:val="000000"/>
          <w:sz w:val="18"/>
          <w:szCs w:val="18"/>
          <w:lang w:val="en-US" w:eastAsia="zh-CN"/>
        </w:rPr>
        <w:t xml:space="preserve"> </w:t>
      </w:r>
      <w:r>
        <w:rPr>
          <w:rFonts w:hint="default" w:asciiTheme="minorAscii" w:hAnsiTheme="minorAscii"/>
          <w:color w:val="000000"/>
          <w:sz w:val="18"/>
          <w:szCs w:val="18"/>
        </w:rPr>
        <w:t>Regulating Cryptocurrencies and the Rise of Stablecoins (US, UK, and EU Policies and Legislation)</w:t>
      </w:r>
    </w:p>
    <w:p w14:paraId="34635162">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heme="minorAscii" w:hAnsiTheme="minorAscii"/>
          <w:color w:val="000000"/>
          <w:sz w:val="18"/>
          <w:szCs w:val="18"/>
          <w:lang w:val="en-US" w:eastAsia="zh-CN"/>
        </w:rPr>
      </w:pPr>
      <w:r>
        <w:rPr>
          <w:rFonts w:hint="default" w:asciiTheme="minorAscii" w:hAnsiTheme="minorAscii"/>
          <w:color w:val="000000"/>
          <w:sz w:val="18"/>
          <w:szCs w:val="18"/>
        </w:rPr>
        <w:t>Seminar 7:</w:t>
      </w:r>
      <w:r>
        <w:rPr>
          <w:rFonts w:hint="default" w:asciiTheme="minorAscii" w:hAnsiTheme="minorAscii"/>
          <w:color w:val="000000"/>
          <w:sz w:val="18"/>
          <w:szCs w:val="18"/>
          <w:lang w:val="en-US" w:eastAsia="zh-CN"/>
        </w:rPr>
        <w:t xml:space="preserve"> Non-Fungible Tokens (NFTs)</w:t>
      </w:r>
    </w:p>
    <w:p w14:paraId="64D5475E">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heme="minorAscii" w:hAnsiTheme="minorAscii"/>
          <w:color w:val="000000"/>
          <w:sz w:val="18"/>
          <w:szCs w:val="18"/>
          <w:lang w:val="en-US" w:eastAsia="zh-CN"/>
        </w:rPr>
      </w:pPr>
      <w:r>
        <w:rPr>
          <w:rFonts w:hint="default" w:asciiTheme="minorAscii" w:hAnsiTheme="minorAscii"/>
          <w:color w:val="000000"/>
          <w:sz w:val="18"/>
          <w:szCs w:val="18"/>
        </w:rPr>
        <w:t>Seminar 8:</w:t>
      </w:r>
      <w:r>
        <w:rPr>
          <w:rFonts w:hint="default" w:asciiTheme="minorAscii" w:hAnsiTheme="minorAscii"/>
          <w:color w:val="000000"/>
          <w:sz w:val="18"/>
          <w:szCs w:val="18"/>
          <w:lang w:val="en-US" w:eastAsia="zh-CN"/>
        </w:rPr>
        <w:t xml:space="preserve"> Decentralized Autonomous Organizations (DAOs), and Smart Contract Law</w:t>
      </w:r>
    </w:p>
    <w:p w14:paraId="0073DCD5"/>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Calibri Light">
    <w:altName w:val="Helvetica Neue"/>
    <w:panose1 w:val="020F0302020204030204"/>
    <w:charset w:val="00"/>
    <w:family w:val="swiss"/>
    <w:pitch w:val="default"/>
    <w:sig w:usb0="00000000" w:usb1="00000000" w:usb2="00000009" w:usb3="00000000" w:csb0="000001FF" w:csb1="00000000"/>
  </w:font>
  <w:font w:name="微软雅黑">
    <w:altName w:val="汉仪旗黑"/>
    <w:panose1 w:val="020B0503020204020204"/>
    <w:charset w:val="86"/>
    <w:family w:val="swiss"/>
    <w:pitch w:val="default"/>
    <w:sig w:usb0="00000000" w:usb1="00000000" w:usb2="00000016" w:usb3="00000000" w:csb0="0004001F" w:csb1="00000000"/>
  </w:font>
  <w:font w:name="仿宋_GB2312">
    <w:altName w:val="方正仿宋_GBK"/>
    <w:panose1 w:val="020B0604020202020204"/>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Helvetica Neue">
    <w:panose1 w:val="02000503000000020004"/>
    <w:charset w:val="00"/>
    <w:family w:val="auto"/>
    <w:pitch w:val="default"/>
    <w:sig w:usb0="E50002FF" w:usb1="500079DB" w:usb2="00000010" w:usb3="00000000" w:csb0="00000000" w:csb1="00000000"/>
  </w:font>
  <w:font w:name="汉仪旗黑">
    <w:panose1 w:val="00020600040101010101"/>
    <w:charset w:val="86"/>
    <w:family w:val="auto"/>
    <w:pitch w:val="default"/>
    <w:sig w:usb0="A00002BF" w:usb1="1ACF7CFA" w:usb2="00000016" w:usb3="00000000" w:csb0="0004009F" w:csb1="DFD7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PingFang SC">
    <w:panose1 w:val="020B0400000000000000"/>
    <w:charset w:val="86"/>
    <w:family w:val="auto"/>
    <w:pitch w:val="default"/>
    <w:sig w:usb0="A00002FF" w:usb1="7ACFFDFB" w:usb2="00000017" w:usb3="00000000" w:csb0="00040001" w:csb1="00000000"/>
  </w:font>
  <w:font w:name="Tahoma">
    <w:panose1 w:val="020B0804030504040204"/>
    <w:charset w:val="00"/>
    <w:family w:val="auto"/>
    <w:pitch w:val="default"/>
    <w:sig w:usb0="E1002A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F9E0C0">
    <w:pPr>
      <w:pStyle w:val="2"/>
      <w:jc w:val="right"/>
    </w:pPr>
    <w:r>
      <w:fldChar w:fldCharType="begin"/>
    </w:r>
    <w:r>
      <w:instrText xml:space="preserve"> PAGE   \* MERGEFORMAT </w:instrText>
    </w:r>
    <w:r>
      <w:fldChar w:fldCharType="separate"/>
    </w:r>
    <w:r>
      <w:rPr>
        <w:lang w:val="zh-CN"/>
      </w:rPr>
      <w:t>1</w:t>
    </w:r>
    <w:r>
      <w:fldChar w:fldCharType="end"/>
    </w:r>
  </w:p>
  <w:p w14:paraId="6589BDA8">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0B81E07"/>
    <w:rsid w:val="0005143B"/>
    <w:rsid w:val="00172198"/>
    <w:rsid w:val="002239A9"/>
    <w:rsid w:val="002963A0"/>
    <w:rsid w:val="002C0CEB"/>
    <w:rsid w:val="002C77F7"/>
    <w:rsid w:val="00330374"/>
    <w:rsid w:val="003C46C2"/>
    <w:rsid w:val="0046518F"/>
    <w:rsid w:val="004B0F83"/>
    <w:rsid w:val="00506608"/>
    <w:rsid w:val="005312BA"/>
    <w:rsid w:val="00663BED"/>
    <w:rsid w:val="00676A41"/>
    <w:rsid w:val="007A7934"/>
    <w:rsid w:val="00874A11"/>
    <w:rsid w:val="008E614E"/>
    <w:rsid w:val="00962164"/>
    <w:rsid w:val="00A056BE"/>
    <w:rsid w:val="00B501B5"/>
    <w:rsid w:val="00B67520"/>
    <w:rsid w:val="00BA50C7"/>
    <w:rsid w:val="00BA7BDB"/>
    <w:rsid w:val="00D13AEB"/>
    <w:rsid w:val="00D713A2"/>
    <w:rsid w:val="00E86AE7"/>
    <w:rsid w:val="00EC4579"/>
    <w:rsid w:val="00EF491E"/>
    <w:rsid w:val="00F85A84"/>
    <w:rsid w:val="10BC429C"/>
    <w:rsid w:val="376F837B"/>
    <w:rsid w:val="50B81E07"/>
    <w:rsid w:val="5B5E9598"/>
    <w:rsid w:val="67FA11AC"/>
    <w:rsid w:val="69E3037E"/>
    <w:rsid w:val="76BF10A3"/>
    <w:rsid w:val="77695C79"/>
    <w:rsid w:val="77B00C1E"/>
    <w:rsid w:val="7FDAAE03"/>
    <w:rsid w:val="AFFDF7C9"/>
    <w:rsid w:val="CF6DEBDC"/>
    <w:rsid w:val="D73E963A"/>
    <w:rsid w:val="EF0CF9F7"/>
    <w:rsid w:val="FF47A929"/>
    <w:rsid w:val="FFCD9C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5">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1937</Words>
  <Characters>3314</Characters>
  <Lines>122</Lines>
  <Paragraphs>86</Paragraphs>
  <TotalTime>6</TotalTime>
  <ScaleCrop>false</ScaleCrop>
  <LinksUpToDate>false</LinksUpToDate>
  <CharactersWithSpaces>5165</CharactersWithSpaces>
  <Application>WPS Office_7.2.2.8955_F1E327BC-269C-435d-A152-05C5408002CA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2026-01-15T18:22:00Z</dcterms:created>
  <dc:creator>田华</dc:creator>
  <cp:lastModifiedBy>小盖</cp:lastModifiedBy>
  <dcterms:modified xsi:type="dcterms:W3CDTF">2026-01-16T15:07:31Z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2052-7.2.2.8955</vt:lpwstr>
  </property>
  <property fmtid="{D5CDD505-2E9C-101B-9397-08002B2CF9AE}" pid="3" name="ICV">
    <vt:lpwstr>2B141BD66DA2A786F881686916CCD4F3_43</vt:lpwstr>
  </property>
</Properties>
</file>