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44CD" w14:textId="46C9709A" w:rsidR="00C1789F" w:rsidRDefault="009B1B38">
      <w:r w:rsidRPr="009B1B38">
        <w:t>重点引智课程推荐</w:t>
      </w:r>
      <w:r>
        <w:rPr>
          <w:rFonts w:hint="eastAsia"/>
        </w:rPr>
        <w:t xml:space="preserve"> </w:t>
      </w:r>
      <w:r w:rsidRPr="009B1B38">
        <w:t>| </w:t>
      </w:r>
      <w:r w:rsidRPr="009B1B38">
        <w:t>美国犹他大学《全球市场中的技术许可、标准化和诉讼（国际视角）》</w:t>
      </w:r>
    </w:p>
    <w:p w14:paraId="69EB7B0E" w14:textId="77777777" w:rsidR="00C61F4C" w:rsidRDefault="00C61F4C"/>
    <w:p w14:paraId="74560390" w14:textId="55889F99" w:rsidR="00C61F4C" w:rsidRDefault="00454B4F">
      <w:r w:rsidRPr="00454B4F">
        <w:t>2026</w:t>
      </w:r>
      <w:r w:rsidRPr="00454B4F">
        <w:t>年华东政法大学重点引智项目课程：美国犹他大学《全球市场中的技术许可、标准化和诉讼（国际视角）》（</w:t>
      </w:r>
      <w:r w:rsidR="00F060C1" w:rsidRPr="00F060C1">
        <w:t>Technology Licensing, Standardization and Litigation in the Global Market (International Perspectives)</w:t>
      </w:r>
      <w:r w:rsidRPr="00454B4F">
        <w:t>）（课程代码：</w:t>
      </w:r>
      <w:r w:rsidRPr="00454B4F">
        <w:t>F</w:t>
      </w:r>
      <w:r w:rsidR="00F060C1">
        <w:rPr>
          <w:rFonts w:hint="eastAsia"/>
        </w:rPr>
        <w:t>202403</w:t>
      </w:r>
      <w:r w:rsidRPr="00454B4F">
        <w:t>）</w:t>
      </w:r>
    </w:p>
    <w:p w14:paraId="6FEEC4A4" w14:textId="77777777" w:rsidR="00F060C1" w:rsidRDefault="00F060C1"/>
    <w:p w14:paraId="56A3B324" w14:textId="77777777" w:rsidR="004B5DFF" w:rsidRDefault="004B5DFF" w:rsidP="00B21CF6">
      <w:r>
        <w:rPr>
          <w:rFonts w:ascii="FangSong_GB2312" w:eastAsia="FangSong_GB2312" w:hAnsi="FangSong_GB2312" w:cs="FangSong_GB2312" w:hint="eastAsia"/>
          <w:noProof/>
          <w:sz w:val="32"/>
          <w:szCs w:val="32"/>
          <w:lang w:eastAsia="zh-Hans"/>
        </w:rPr>
        <w:drawing>
          <wp:inline distT="0" distB="0" distL="114300" distR="114300" wp14:anchorId="21813D3B" wp14:editId="7616CFC8">
            <wp:extent cx="2167890" cy="2167890"/>
            <wp:effectExtent l="0" t="0" r="16510" b="16510"/>
            <wp:docPr id="1" name="图片 1" descr="Jorge_Contreras_UofUtah-scaled-e170655945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orge_Contreras_UofUtah-scaled-e1706559458462"/>
                    <pic:cNvPicPr>
                      <a:picLocks noChangeAspect="1"/>
                    </pic:cNvPicPr>
                  </pic:nvPicPr>
                  <pic:blipFill>
                    <a:blip r:embed="rId4"/>
                    <a:stretch>
                      <a:fillRect/>
                    </a:stretch>
                  </pic:blipFill>
                  <pic:spPr>
                    <a:xfrm>
                      <a:off x="0" y="0"/>
                      <a:ext cx="2167890" cy="2167890"/>
                    </a:xfrm>
                    <a:prstGeom prst="rect">
                      <a:avLst/>
                    </a:prstGeom>
                  </pic:spPr>
                </pic:pic>
              </a:graphicData>
            </a:graphic>
          </wp:inline>
        </w:drawing>
      </w:r>
    </w:p>
    <w:p w14:paraId="0F9F3A24" w14:textId="611C5294" w:rsidR="003C78EE" w:rsidRPr="001E295B" w:rsidRDefault="00B21CF6" w:rsidP="00B21CF6">
      <w:pPr>
        <w:rPr>
          <w:b/>
          <w:bCs/>
        </w:rPr>
      </w:pPr>
      <w:r w:rsidRPr="001E295B">
        <w:rPr>
          <w:b/>
          <w:bCs/>
        </w:rPr>
        <w:t>主讲人简介</w:t>
      </w:r>
    </w:p>
    <w:p w14:paraId="45919CC1" w14:textId="06C5DFEF" w:rsidR="00B21CF6" w:rsidRDefault="003F490C">
      <w:r w:rsidRPr="003F490C">
        <w:t xml:space="preserve">Jorge Luis </w:t>
      </w:r>
      <w:bookmarkStart w:id="0" w:name="OLE_LINK2"/>
      <w:r w:rsidRPr="003F490C">
        <w:t>Contreras</w:t>
      </w:r>
      <w:bookmarkEnd w:id="0"/>
      <w:r w:rsidRPr="003F490C">
        <w:t>，美国犹他大学法学院终身教授和知识产权与技术法项目主任。他的教学和研究领域包括知识产权、财产法、技术标准化、反垄断和科学政策。</w:t>
      </w:r>
      <w:r w:rsidRPr="003F490C">
        <w:t xml:space="preserve">Contreras </w:t>
      </w:r>
      <w:r w:rsidRPr="003F490C">
        <w:t>教授撰写及编辑了</w:t>
      </w:r>
      <w:r w:rsidRPr="003F490C">
        <w:t xml:space="preserve"> 12 </w:t>
      </w:r>
      <w:r w:rsidRPr="003F490C">
        <w:t>本著作，发表了</w:t>
      </w:r>
      <w:r w:rsidRPr="003F490C">
        <w:t xml:space="preserve"> 150 </w:t>
      </w:r>
      <w:r w:rsidRPr="003F490C">
        <w:t>余篇学术论文和书籍章节。他的学术文章曾发表在《科学（</w:t>
      </w:r>
      <w:r w:rsidRPr="003F490C">
        <w:t>Science</w:t>
      </w:r>
      <w:r w:rsidRPr="003F490C">
        <w:t>）》、《自然（</w:t>
      </w:r>
      <w:r w:rsidRPr="003F490C">
        <w:t>Nature</w:t>
      </w:r>
      <w:r w:rsidRPr="003F490C">
        <w:t>）》、《纽约大学法律评论（</w:t>
      </w:r>
      <w:r w:rsidRPr="003F490C">
        <w:t>NYU Law Review</w:t>
      </w:r>
      <w:r w:rsidRPr="003F490C">
        <w:t>）》、《乔治城法律杂志（</w:t>
      </w:r>
      <w:r w:rsidRPr="003F490C">
        <w:t>Georgetown Law Journal</w:t>
      </w:r>
      <w:r w:rsidRPr="003F490C">
        <w:t>）》、《爱荷华法律评论（</w:t>
      </w:r>
      <w:r w:rsidRPr="003F490C">
        <w:t>Iowa Law Review</w:t>
      </w:r>
      <w:r w:rsidRPr="003F490C">
        <w:t>）》和《反垄断法杂志（</w:t>
      </w:r>
      <w:r w:rsidRPr="003F490C">
        <w:t>Antitrust Law Journal</w:t>
      </w:r>
      <w:r w:rsidRPr="003F490C">
        <w:t>）》等权威科学、法律和政策期刊上。已在华政成功开设两轮《全球市场中的技术许可、标准化和诉讼（国际视角）》课程。</w:t>
      </w:r>
    </w:p>
    <w:p w14:paraId="4D4E6883" w14:textId="77777777" w:rsidR="00915F12" w:rsidRDefault="00915F12"/>
    <w:p w14:paraId="16C2B017" w14:textId="77777777" w:rsidR="004B5DFF" w:rsidRPr="001E295B" w:rsidRDefault="004B5DFF" w:rsidP="004B5DFF">
      <w:pPr>
        <w:rPr>
          <w:b/>
          <w:bCs/>
        </w:rPr>
      </w:pPr>
      <w:r w:rsidRPr="001E295B">
        <w:rPr>
          <w:b/>
          <w:bCs/>
        </w:rPr>
        <w:t>Profile</w:t>
      </w:r>
    </w:p>
    <w:p w14:paraId="7424F468" w14:textId="45EA0FE9" w:rsidR="00915F12" w:rsidRDefault="004B5DFF" w:rsidP="004B5DFF">
      <w:r>
        <w:t xml:space="preserve">Jorge Luis Contreras is the James T. Jensen Endowed Professor for Transactional Law and Director of the Program on Intellectual Property and Technology Law at the University of Utah S.J. Quinney College of Law. He teaches and researches in the areas of intellectual property, property law, technical standardization, antitrust and science policy. Professor Contreras has written or edited twelve books and published more than 150 scholarly </w:t>
      </w:r>
      <w:r>
        <w:lastRenderedPageBreak/>
        <w:t>articles and book chapters. His scholarly articles have appeared in leading scientific, legal and policy journals including Science, Nature, NYU Law Review, Georgetown Law Journal, Iowa Law Review and Antitrust Law Journal. Professor Contreras has previously taught the course “Technology Licensing, Standardization and Litigation in the Global Market (International Perspectives)” twice at ECUPL.</w:t>
      </w:r>
    </w:p>
    <w:p w14:paraId="3F3377E6" w14:textId="77777777" w:rsidR="009768CC" w:rsidRDefault="009768CC" w:rsidP="004B5DFF"/>
    <w:p w14:paraId="65F80E7F" w14:textId="3B9BA81C" w:rsidR="009768CC" w:rsidRDefault="002A6D03" w:rsidP="004B5DFF">
      <w:r w:rsidRPr="002A6D03">
        <w:t>课程</w:t>
      </w:r>
      <w:r w:rsidR="00D844A7">
        <w:rPr>
          <w:rFonts w:hint="eastAsia"/>
        </w:rPr>
        <w:t>与</w:t>
      </w:r>
      <w:r w:rsidRPr="002A6D03">
        <w:t>选课</w:t>
      </w:r>
      <w:r w:rsidR="00D844A7">
        <w:rPr>
          <w:rFonts w:hint="eastAsia"/>
        </w:rPr>
        <w:t>信息</w:t>
      </w:r>
    </w:p>
    <w:p w14:paraId="2C93BC9D" w14:textId="0C861F4E" w:rsidR="002A6D03" w:rsidRDefault="002A6D03" w:rsidP="002A6D03">
      <w:r>
        <w:rPr>
          <w:rFonts w:hint="eastAsia"/>
        </w:rPr>
        <w:t>课程时间</w:t>
      </w:r>
      <w:r w:rsidR="00D844A7">
        <w:rPr>
          <w:rFonts w:hint="eastAsia"/>
        </w:rPr>
        <w:t>：</w:t>
      </w:r>
      <w:r w:rsidR="00795A39" w:rsidRPr="00795A39">
        <w:t>2026</w:t>
      </w:r>
      <w:r w:rsidR="00795A39" w:rsidRPr="00795A39">
        <w:t>年</w:t>
      </w:r>
      <w:r w:rsidR="00795A39" w:rsidRPr="00795A39">
        <w:t>3</w:t>
      </w:r>
      <w:r w:rsidR="00795A39" w:rsidRPr="00795A39">
        <w:t>月</w:t>
      </w:r>
      <w:r w:rsidR="00795A39" w:rsidRPr="00795A39">
        <w:t>19</w:t>
      </w:r>
      <w:r w:rsidR="00795A39" w:rsidRPr="00795A39">
        <w:t>日至</w:t>
      </w:r>
      <w:r w:rsidR="00795A39" w:rsidRPr="00795A39">
        <w:t>4</w:t>
      </w:r>
      <w:r w:rsidR="00795A39" w:rsidRPr="00795A39">
        <w:t>月</w:t>
      </w:r>
      <w:r w:rsidR="00795A39" w:rsidRPr="00795A39">
        <w:t>10</w:t>
      </w:r>
      <w:r w:rsidR="00795A39" w:rsidRPr="00795A39">
        <w:t>日</w:t>
      </w:r>
      <w:r w:rsidR="00795A39">
        <w:rPr>
          <w:rFonts w:hint="eastAsia"/>
        </w:rPr>
        <w:t>；</w:t>
      </w:r>
      <w:r>
        <w:rPr>
          <w:rFonts w:hint="eastAsia"/>
        </w:rPr>
        <w:t>每周四、周</w:t>
      </w:r>
      <w:r w:rsidR="00795A39">
        <w:rPr>
          <w:rFonts w:hint="eastAsia"/>
        </w:rPr>
        <w:t>五上午</w:t>
      </w:r>
      <w:r w:rsidR="00795A39" w:rsidRPr="00795A39">
        <w:t>10</w:t>
      </w:r>
      <w:r w:rsidR="00795A39">
        <w:rPr>
          <w:rFonts w:hint="eastAsia"/>
        </w:rPr>
        <w:t>点至下午</w:t>
      </w:r>
      <w:r w:rsidR="00795A39" w:rsidRPr="00795A39">
        <w:t>1</w:t>
      </w:r>
      <w:r w:rsidR="00795A39">
        <w:rPr>
          <w:rFonts w:hint="eastAsia"/>
        </w:rPr>
        <w:t>点</w:t>
      </w:r>
      <w:r w:rsidR="00D844A7">
        <w:rPr>
          <w:rFonts w:hint="eastAsia"/>
        </w:rPr>
        <w:t>（</w:t>
      </w:r>
      <w:r>
        <w:rPr>
          <w:rFonts w:hint="eastAsia"/>
        </w:rPr>
        <w:t>暂定</w:t>
      </w:r>
      <w:r w:rsidR="00D844A7">
        <w:rPr>
          <w:rFonts w:hint="eastAsia"/>
        </w:rPr>
        <w:t>）</w:t>
      </w:r>
    </w:p>
    <w:p w14:paraId="662A0011" w14:textId="6269CB34" w:rsidR="002A6D03" w:rsidRDefault="008163A1" w:rsidP="002A6D03">
      <w:r>
        <w:rPr>
          <w:rFonts w:hint="eastAsia"/>
        </w:rPr>
        <w:t>课程语言：英语</w:t>
      </w:r>
    </w:p>
    <w:p w14:paraId="5C67AF9F" w14:textId="17890001" w:rsidR="008163A1" w:rsidRDefault="008163A1" w:rsidP="002A6D03">
      <w:r>
        <w:rPr>
          <w:rFonts w:hint="eastAsia"/>
        </w:rPr>
        <w:t>课程</w:t>
      </w:r>
      <w:r w:rsidR="003F2E6D">
        <w:rPr>
          <w:rFonts w:hint="eastAsia"/>
        </w:rPr>
        <w:t>形式</w:t>
      </w:r>
      <w:r>
        <w:rPr>
          <w:rFonts w:hint="eastAsia"/>
        </w:rPr>
        <w:t>：</w:t>
      </w:r>
      <w:r w:rsidR="003F2E6D">
        <w:rPr>
          <w:rFonts w:hint="eastAsia"/>
        </w:rPr>
        <w:t>松江校区集中线下授课，授课教师</w:t>
      </w:r>
      <w:r w:rsidR="001811D8">
        <w:rPr>
          <w:rFonts w:hint="eastAsia"/>
        </w:rPr>
        <w:t>线上接入</w:t>
      </w:r>
    </w:p>
    <w:p w14:paraId="4E98FF32" w14:textId="1722D6B8" w:rsidR="00FD0DFA" w:rsidRDefault="002A6D03" w:rsidP="002A6D03">
      <w:bookmarkStart w:id="1" w:name="OLE_LINK1"/>
      <w:r>
        <w:rPr>
          <w:rFonts w:hint="eastAsia"/>
        </w:rPr>
        <w:t>选课时间</w:t>
      </w:r>
      <w:r w:rsidR="00FD0DFA">
        <w:rPr>
          <w:rFonts w:hint="eastAsia"/>
        </w:rPr>
        <w:t>：</w:t>
      </w:r>
      <w:r w:rsidR="00B058CA" w:rsidRPr="00795A39">
        <w:t>2026</w:t>
      </w:r>
      <w:r w:rsidR="00B058CA" w:rsidRPr="00795A39">
        <w:t>年</w:t>
      </w:r>
      <w:r w:rsidR="00B058CA" w:rsidRPr="00B058CA">
        <w:t>1</w:t>
      </w:r>
      <w:r w:rsidR="00B058CA" w:rsidRPr="00B058CA">
        <w:t>月</w:t>
      </w:r>
      <w:r w:rsidR="00B058CA" w:rsidRPr="00B058CA">
        <w:t>19</w:t>
      </w:r>
      <w:r w:rsidR="00B058CA">
        <w:rPr>
          <w:rFonts w:hint="eastAsia"/>
        </w:rPr>
        <w:t>日（预计）</w:t>
      </w:r>
    </w:p>
    <w:p w14:paraId="384B69C0" w14:textId="0DB13AA2" w:rsidR="002A6D03" w:rsidRDefault="002A6D03" w:rsidP="002A6D03">
      <w:r>
        <w:rPr>
          <w:rFonts w:hint="eastAsia"/>
        </w:rPr>
        <w:t>选课对象</w:t>
      </w:r>
      <w:r w:rsidR="00FD0DFA">
        <w:rPr>
          <w:rFonts w:hint="eastAsia"/>
        </w:rPr>
        <w:t>：</w:t>
      </w:r>
      <w:r w:rsidR="00C100B3" w:rsidRPr="00C100B3">
        <w:t>2024</w:t>
      </w:r>
      <w:r w:rsidR="00C100B3" w:rsidRPr="00C100B3">
        <w:t>级、</w:t>
      </w:r>
      <w:r w:rsidR="00C100B3" w:rsidRPr="00C100B3">
        <w:t>2025</w:t>
      </w:r>
      <w:r w:rsidR="00C100B3" w:rsidRPr="00C100B3">
        <w:t>级硕士研究生</w:t>
      </w:r>
    </w:p>
    <w:p w14:paraId="1F5754B3" w14:textId="0D65813C" w:rsidR="00C831AB" w:rsidRDefault="00C831AB" w:rsidP="00C831AB">
      <w:r w:rsidRPr="00AA00C5">
        <w:rPr>
          <w:rFonts w:hint="eastAsia"/>
        </w:rPr>
        <w:t>选课人数：</w:t>
      </w:r>
      <w:r w:rsidR="00AE07F7" w:rsidRPr="00AA00C5">
        <w:t>1</w:t>
      </w:r>
      <w:r w:rsidR="00D26A6B" w:rsidRPr="00AA00C5">
        <w:t>7</w:t>
      </w:r>
      <w:r w:rsidRPr="00AA00C5">
        <w:rPr>
          <w:rFonts w:hint="eastAsia"/>
        </w:rPr>
        <w:t>人</w:t>
      </w:r>
    </w:p>
    <w:p w14:paraId="75537680" w14:textId="77777777" w:rsidR="00C100B3" w:rsidRDefault="00C100B3" w:rsidP="002A6D03"/>
    <w:p w14:paraId="3CDCC617" w14:textId="349BC3EB" w:rsidR="00D51F29" w:rsidRDefault="00D51F29" w:rsidP="002A6D03">
      <w:r w:rsidRPr="00D51F29">
        <w:t>课程内容</w:t>
      </w:r>
    </w:p>
    <w:tbl>
      <w:tblPr>
        <w:tblStyle w:val="TableGrid"/>
        <w:tblW w:w="0" w:type="auto"/>
        <w:tblLook w:val="04A0" w:firstRow="1" w:lastRow="0" w:firstColumn="1" w:lastColumn="0" w:noHBand="0" w:noVBand="1"/>
      </w:tblPr>
      <w:tblGrid>
        <w:gridCol w:w="1696"/>
        <w:gridCol w:w="7654"/>
      </w:tblGrid>
      <w:tr w:rsidR="000B69A6" w:rsidRPr="006D5CC4" w14:paraId="18DBD1D7" w14:textId="77777777" w:rsidTr="00F65B0A">
        <w:trPr>
          <w:trHeight w:val="409"/>
        </w:trPr>
        <w:tc>
          <w:tcPr>
            <w:tcW w:w="1696" w:type="dxa"/>
          </w:tcPr>
          <w:p w14:paraId="06756219" w14:textId="6919996C" w:rsidR="00FF220A" w:rsidRDefault="00FF220A" w:rsidP="007F452D">
            <w:pPr>
              <w:spacing w:before="120" w:after="120"/>
            </w:pPr>
            <w:r>
              <w:rPr>
                <w:rFonts w:hint="eastAsia"/>
              </w:rPr>
              <w:t>第一讲</w:t>
            </w:r>
          </w:p>
          <w:p w14:paraId="6E8BBB22" w14:textId="203AAFC2" w:rsidR="000B69A6" w:rsidRPr="006D5CC4" w:rsidRDefault="000B69A6" w:rsidP="007F452D">
            <w:pPr>
              <w:spacing w:before="120" w:after="120"/>
            </w:pPr>
            <w:r w:rsidRPr="006D5CC4">
              <w:t>Lecture 1</w:t>
            </w:r>
          </w:p>
        </w:tc>
        <w:tc>
          <w:tcPr>
            <w:tcW w:w="7654" w:type="dxa"/>
          </w:tcPr>
          <w:p w14:paraId="5BF0AC29" w14:textId="2099B726" w:rsidR="00FF220A" w:rsidRDefault="00DE6EAB" w:rsidP="007F452D">
            <w:pPr>
              <w:spacing w:before="120" w:after="120"/>
            </w:pPr>
            <w:r w:rsidRPr="00DE6EAB">
              <w:t>国际专利基础知识</w:t>
            </w:r>
          </w:p>
          <w:p w14:paraId="0196FFB1" w14:textId="161FC5B7" w:rsidR="000B69A6" w:rsidRPr="006D5CC4" w:rsidRDefault="0042694A" w:rsidP="007F452D">
            <w:pPr>
              <w:spacing w:before="120" w:after="120"/>
            </w:pPr>
            <w:r w:rsidRPr="0042694A">
              <w:t>International Patent Basics</w:t>
            </w:r>
          </w:p>
        </w:tc>
      </w:tr>
      <w:tr w:rsidR="000B69A6" w:rsidRPr="006D5CC4" w14:paraId="032C8213" w14:textId="77777777" w:rsidTr="000B69A6">
        <w:tc>
          <w:tcPr>
            <w:tcW w:w="1696" w:type="dxa"/>
          </w:tcPr>
          <w:p w14:paraId="6C5E3813" w14:textId="228CE3E6" w:rsidR="004F3CD7" w:rsidRDefault="004F3CD7" w:rsidP="007F452D">
            <w:pPr>
              <w:spacing w:before="120" w:after="120"/>
            </w:pPr>
            <w:r>
              <w:rPr>
                <w:rFonts w:hint="eastAsia"/>
              </w:rPr>
              <w:t>第二讲</w:t>
            </w:r>
          </w:p>
          <w:p w14:paraId="440DE2D9" w14:textId="47DC6011" w:rsidR="000B69A6" w:rsidRPr="006D5CC4" w:rsidRDefault="000B69A6" w:rsidP="007F452D">
            <w:pPr>
              <w:spacing w:before="120" w:after="120"/>
            </w:pPr>
            <w:r w:rsidRPr="006D5CC4">
              <w:t>Lecture 2</w:t>
            </w:r>
          </w:p>
        </w:tc>
        <w:tc>
          <w:tcPr>
            <w:tcW w:w="7654" w:type="dxa"/>
          </w:tcPr>
          <w:p w14:paraId="1EB0FAF2" w14:textId="50FAF4CB" w:rsidR="004F7B36" w:rsidRDefault="004F7B36" w:rsidP="007F452D">
            <w:pPr>
              <w:spacing w:before="120" w:after="120"/>
            </w:pPr>
            <w:r w:rsidRPr="004F7B36">
              <w:t>私法与专利：许可与诉讼</w:t>
            </w:r>
          </w:p>
          <w:p w14:paraId="63C47795" w14:textId="0C5B1E95" w:rsidR="000B69A6" w:rsidRPr="006D5CC4" w:rsidRDefault="0042694A" w:rsidP="007F452D">
            <w:pPr>
              <w:spacing w:before="120" w:after="120"/>
            </w:pPr>
            <w:r w:rsidRPr="0042694A">
              <w:t>Private Law and Patents: Licensing and Litigation</w:t>
            </w:r>
          </w:p>
        </w:tc>
      </w:tr>
      <w:tr w:rsidR="000B69A6" w:rsidRPr="006D5CC4" w14:paraId="0D521361" w14:textId="77777777" w:rsidTr="000B69A6">
        <w:tc>
          <w:tcPr>
            <w:tcW w:w="1696" w:type="dxa"/>
          </w:tcPr>
          <w:p w14:paraId="4F6358DA" w14:textId="25522BD6" w:rsidR="004F7B36" w:rsidRDefault="004F7B36" w:rsidP="007F452D">
            <w:pPr>
              <w:spacing w:before="120" w:after="120"/>
            </w:pPr>
            <w:r>
              <w:rPr>
                <w:rFonts w:hint="eastAsia"/>
              </w:rPr>
              <w:t>第三讲</w:t>
            </w:r>
          </w:p>
          <w:p w14:paraId="5D86B871" w14:textId="468DF7AC" w:rsidR="000B69A6" w:rsidRPr="006D5CC4" w:rsidRDefault="008641AC" w:rsidP="007F452D">
            <w:pPr>
              <w:spacing w:before="120" w:after="120"/>
            </w:pPr>
            <w:r w:rsidRPr="006D5CC4">
              <w:t>Lecture 3</w:t>
            </w:r>
          </w:p>
        </w:tc>
        <w:tc>
          <w:tcPr>
            <w:tcW w:w="7654" w:type="dxa"/>
          </w:tcPr>
          <w:p w14:paraId="3020B8BE" w14:textId="4BC0736F" w:rsidR="004F7B36" w:rsidRDefault="004F7B36" w:rsidP="007F452D">
            <w:pPr>
              <w:spacing w:before="120" w:after="120"/>
            </w:pPr>
            <w:r>
              <w:rPr>
                <w:rFonts w:hint="eastAsia"/>
              </w:rPr>
              <w:t>标准与标准化</w:t>
            </w:r>
          </w:p>
          <w:p w14:paraId="145EA0F8" w14:textId="5C6880C4" w:rsidR="000B69A6" w:rsidRPr="006D5CC4" w:rsidRDefault="0042694A" w:rsidP="007F452D">
            <w:pPr>
              <w:spacing w:before="120" w:after="120"/>
            </w:pPr>
            <w:r w:rsidRPr="0042694A">
              <w:t>Standards and Standardization</w:t>
            </w:r>
          </w:p>
        </w:tc>
      </w:tr>
      <w:tr w:rsidR="000B69A6" w:rsidRPr="006D5CC4" w14:paraId="3DF66A75" w14:textId="77777777" w:rsidTr="000B69A6">
        <w:tc>
          <w:tcPr>
            <w:tcW w:w="1696" w:type="dxa"/>
          </w:tcPr>
          <w:p w14:paraId="64E62A88" w14:textId="32CADF4A" w:rsidR="004F7B36" w:rsidRDefault="004F7B36" w:rsidP="007F452D">
            <w:pPr>
              <w:spacing w:before="120" w:after="120"/>
            </w:pPr>
            <w:r>
              <w:rPr>
                <w:rFonts w:hint="eastAsia"/>
              </w:rPr>
              <w:t>第四讲</w:t>
            </w:r>
          </w:p>
          <w:p w14:paraId="20BE1614" w14:textId="04EF2189" w:rsidR="000B69A6" w:rsidRPr="006D5CC4" w:rsidRDefault="00F60C76" w:rsidP="007F452D">
            <w:pPr>
              <w:spacing w:before="120" w:after="120"/>
            </w:pPr>
            <w:r w:rsidRPr="006D5CC4">
              <w:t>Lecture 4</w:t>
            </w:r>
          </w:p>
        </w:tc>
        <w:tc>
          <w:tcPr>
            <w:tcW w:w="7654" w:type="dxa"/>
          </w:tcPr>
          <w:p w14:paraId="07BA8527" w14:textId="47420F8E" w:rsidR="004F7B36" w:rsidRDefault="004F7B36" w:rsidP="007F452D">
            <w:pPr>
              <w:spacing w:before="120" w:after="120"/>
            </w:pPr>
            <w:r>
              <w:rPr>
                <w:rFonts w:hint="eastAsia"/>
              </w:rPr>
              <w:t>专利与标准</w:t>
            </w:r>
          </w:p>
          <w:p w14:paraId="3761CCB1" w14:textId="2BE4E88F" w:rsidR="000B69A6" w:rsidRPr="006D5CC4" w:rsidRDefault="0042694A" w:rsidP="007F452D">
            <w:pPr>
              <w:spacing w:before="120" w:after="120"/>
            </w:pPr>
            <w:r w:rsidRPr="0042694A">
              <w:t>Patents and Standards</w:t>
            </w:r>
          </w:p>
        </w:tc>
      </w:tr>
      <w:tr w:rsidR="000B69A6" w:rsidRPr="006D5CC4" w14:paraId="144BD874" w14:textId="77777777" w:rsidTr="000B69A6">
        <w:tc>
          <w:tcPr>
            <w:tcW w:w="1696" w:type="dxa"/>
          </w:tcPr>
          <w:p w14:paraId="5CA13709" w14:textId="6134DAD6" w:rsidR="00D362DE" w:rsidRDefault="00D362DE" w:rsidP="007F452D">
            <w:pPr>
              <w:spacing w:before="120" w:after="120"/>
            </w:pPr>
            <w:r>
              <w:rPr>
                <w:rFonts w:hint="eastAsia"/>
              </w:rPr>
              <w:t>第五讲</w:t>
            </w:r>
          </w:p>
          <w:p w14:paraId="315EE146" w14:textId="383176A4" w:rsidR="000B69A6" w:rsidRPr="006D5CC4" w:rsidRDefault="00AD70F2" w:rsidP="007F452D">
            <w:pPr>
              <w:spacing w:before="120" w:after="120"/>
            </w:pPr>
            <w:r w:rsidRPr="006D5CC4">
              <w:t>Lecture 5</w:t>
            </w:r>
          </w:p>
        </w:tc>
        <w:tc>
          <w:tcPr>
            <w:tcW w:w="7654" w:type="dxa"/>
          </w:tcPr>
          <w:p w14:paraId="24FB1574" w14:textId="3A31ABA1" w:rsidR="00D362DE" w:rsidRDefault="003B08F8" w:rsidP="007F452D">
            <w:pPr>
              <w:spacing w:before="120" w:after="120"/>
            </w:pPr>
            <w:r w:rsidRPr="003B08F8">
              <w:t>公平、合理和无歧视</w:t>
            </w:r>
          </w:p>
          <w:p w14:paraId="1FF4FAF2" w14:textId="43BC2C44" w:rsidR="000B69A6" w:rsidRPr="006D5CC4" w:rsidRDefault="0042694A" w:rsidP="007F452D">
            <w:pPr>
              <w:spacing w:before="120" w:after="120"/>
            </w:pPr>
            <w:r w:rsidRPr="0042694A">
              <w:t>FRAND</w:t>
            </w:r>
          </w:p>
        </w:tc>
      </w:tr>
      <w:tr w:rsidR="000B69A6" w:rsidRPr="006D5CC4" w14:paraId="3555434F" w14:textId="77777777" w:rsidTr="000B69A6">
        <w:tc>
          <w:tcPr>
            <w:tcW w:w="1696" w:type="dxa"/>
          </w:tcPr>
          <w:p w14:paraId="6AC4FDCE" w14:textId="610E6462" w:rsidR="008F4D87" w:rsidRDefault="008F4D87" w:rsidP="007F452D">
            <w:pPr>
              <w:spacing w:before="120" w:after="120"/>
            </w:pPr>
            <w:r>
              <w:rPr>
                <w:rFonts w:hint="eastAsia"/>
              </w:rPr>
              <w:lastRenderedPageBreak/>
              <w:t>第六讲</w:t>
            </w:r>
          </w:p>
          <w:p w14:paraId="3CBB9902" w14:textId="7FBF58F7" w:rsidR="000B69A6" w:rsidRPr="006D5CC4" w:rsidRDefault="00AD70F2" w:rsidP="007F452D">
            <w:pPr>
              <w:spacing w:before="120" w:after="120"/>
            </w:pPr>
            <w:r w:rsidRPr="006D5CC4">
              <w:t>Lecture 6</w:t>
            </w:r>
          </w:p>
        </w:tc>
        <w:tc>
          <w:tcPr>
            <w:tcW w:w="7654" w:type="dxa"/>
          </w:tcPr>
          <w:p w14:paraId="7A898A3D" w14:textId="5F5458AC" w:rsidR="008F4D87" w:rsidRDefault="008F4D87" w:rsidP="007F452D">
            <w:pPr>
              <w:spacing w:before="120" w:after="120"/>
            </w:pPr>
            <w:r w:rsidRPr="008F4D87">
              <w:t>全球标准诉讼</w:t>
            </w:r>
          </w:p>
          <w:p w14:paraId="03E9A46B" w14:textId="002DDD25" w:rsidR="000B69A6" w:rsidRPr="006D5CC4" w:rsidRDefault="0042694A" w:rsidP="007F452D">
            <w:pPr>
              <w:spacing w:before="120" w:after="120"/>
            </w:pPr>
            <w:r w:rsidRPr="0042694A">
              <w:t>Global Standards Litigation</w:t>
            </w:r>
          </w:p>
        </w:tc>
      </w:tr>
      <w:tr w:rsidR="000B69A6" w:rsidRPr="006D5CC4" w14:paraId="2F19D20F" w14:textId="77777777" w:rsidTr="000B69A6">
        <w:tc>
          <w:tcPr>
            <w:tcW w:w="1696" w:type="dxa"/>
          </w:tcPr>
          <w:p w14:paraId="7DD56E7F" w14:textId="6586D874" w:rsidR="008F4D87" w:rsidRDefault="008F4D87" w:rsidP="007F452D">
            <w:pPr>
              <w:spacing w:before="120" w:after="120"/>
            </w:pPr>
            <w:r>
              <w:rPr>
                <w:rFonts w:hint="eastAsia"/>
              </w:rPr>
              <w:t>第七讲</w:t>
            </w:r>
          </w:p>
          <w:p w14:paraId="23040E82" w14:textId="41DAB16D" w:rsidR="000B69A6" w:rsidRPr="006D5CC4" w:rsidRDefault="008A6A8A" w:rsidP="007F452D">
            <w:pPr>
              <w:spacing w:before="120" w:after="120"/>
            </w:pPr>
            <w:r w:rsidRPr="006D5CC4">
              <w:t>Lecture 7</w:t>
            </w:r>
          </w:p>
        </w:tc>
        <w:tc>
          <w:tcPr>
            <w:tcW w:w="7654" w:type="dxa"/>
          </w:tcPr>
          <w:p w14:paraId="61B15A01" w14:textId="4761AEE3" w:rsidR="008F4D87" w:rsidRDefault="008F4D87" w:rsidP="007F452D">
            <w:pPr>
              <w:spacing w:before="120" w:after="120"/>
            </w:pPr>
            <w:r>
              <w:rPr>
                <w:rFonts w:hint="eastAsia"/>
              </w:rPr>
              <w:t>专利、标准与竞争法</w:t>
            </w:r>
          </w:p>
          <w:p w14:paraId="6DAD5EC6" w14:textId="012ACAC3" w:rsidR="000B69A6" w:rsidRPr="006D5CC4" w:rsidRDefault="0042694A" w:rsidP="007F452D">
            <w:pPr>
              <w:spacing w:before="120" w:after="120"/>
            </w:pPr>
            <w:r w:rsidRPr="0042694A">
              <w:t>Patents, Standards and Competition Law</w:t>
            </w:r>
          </w:p>
        </w:tc>
      </w:tr>
      <w:tr w:rsidR="000B69A6" w14:paraId="34929610" w14:textId="77777777" w:rsidTr="000B69A6">
        <w:tc>
          <w:tcPr>
            <w:tcW w:w="1696" w:type="dxa"/>
          </w:tcPr>
          <w:p w14:paraId="69ED5502" w14:textId="2650B86D" w:rsidR="008F4D87" w:rsidRDefault="008F4D87" w:rsidP="007F452D">
            <w:pPr>
              <w:spacing w:before="120" w:after="120"/>
            </w:pPr>
            <w:r>
              <w:rPr>
                <w:rFonts w:hint="eastAsia"/>
              </w:rPr>
              <w:t>第八讲</w:t>
            </w:r>
          </w:p>
          <w:p w14:paraId="0C9C5428" w14:textId="097F0B9E" w:rsidR="000B69A6" w:rsidRPr="006D5CC4" w:rsidRDefault="008A6A8A" w:rsidP="007F452D">
            <w:pPr>
              <w:spacing w:before="120" w:after="120"/>
            </w:pPr>
            <w:r w:rsidRPr="006D5CC4">
              <w:t>Lecture 8</w:t>
            </w:r>
          </w:p>
        </w:tc>
        <w:tc>
          <w:tcPr>
            <w:tcW w:w="7654" w:type="dxa"/>
          </w:tcPr>
          <w:p w14:paraId="3C3284A8" w14:textId="0169A58C" w:rsidR="008F4D87" w:rsidRDefault="008F4D87" w:rsidP="007F452D">
            <w:pPr>
              <w:spacing w:before="120" w:after="120"/>
            </w:pPr>
            <w:r w:rsidRPr="008F4D87">
              <w:t>专利池</w:t>
            </w:r>
          </w:p>
          <w:p w14:paraId="645539AD" w14:textId="01BFF54F" w:rsidR="000B69A6" w:rsidRDefault="0042694A" w:rsidP="007F452D">
            <w:pPr>
              <w:spacing w:before="120" w:after="120"/>
            </w:pPr>
            <w:r w:rsidRPr="0042694A">
              <w:t>Patent Pools</w:t>
            </w:r>
          </w:p>
        </w:tc>
      </w:tr>
      <w:bookmarkEnd w:id="1"/>
    </w:tbl>
    <w:p w14:paraId="7560FCE3" w14:textId="77777777" w:rsidR="003F490C" w:rsidRDefault="003F490C"/>
    <w:p w14:paraId="0D94F725" w14:textId="77777777" w:rsidR="008A6A8A" w:rsidRDefault="008A6A8A"/>
    <w:p w14:paraId="09135A77" w14:textId="18FE5A29" w:rsidR="009C78F0" w:rsidRDefault="009C78F0">
      <w:r>
        <w:rPr>
          <w:rFonts w:hint="eastAsia"/>
        </w:rPr>
        <w:t>课程微信群</w:t>
      </w:r>
    </w:p>
    <w:p w14:paraId="4F601FB0" w14:textId="2C9AEB7B" w:rsidR="009C78F0" w:rsidRDefault="009A5ECA">
      <w:r>
        <w:rPr>
          <w:noProof/>
        </w:rPr>
        <w:drawing>
          <wp:inline distT="0" distB="0" distL="0" distR="0" wp14:anchorId="4E489337" wp14:editId="447F1E4B">
            <wp:extent cx="2659076" cy="4383314"/>
            <wp:effectExtent l="0" t="0" r="0" b="0"/>
            <wp:docPr id="1429598807" name="Picture 2" descr="A screenshot of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98807" name="Picture 2" descr="A screenshot of a qr cod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7013" cy="4412882"/>
                    </a:xfrm>
                    <a:prstGeom prst="rect">
                      <a:avLst/>
                    </a:prstGeom>
                  </pic:spPr>
                </pic:pic>
              </a:graphicData>
            </a:graphic>
          </wp:inline>
        </w:drawing>
      </w:r>
    </w:p>
    <w:sectPr w:rsidR="009C78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FangSong_GB2312">
    <w:altName w:val="Arial Unicode MS"/>
    <w:panose1 w:val="02010609030101010101"/>
    <w:charset w:val="86"/>
    <w:family w:val="modern"/>
    <w:pitch w:val="fixed"/>
    <w:sig w:usb0="00000001" w:usb1="080E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38"/>
    <w:rsid w:val="000B69A6"/>
    <w:rsid w:val="000E5FB1"/>
    <w:rsid w:val="001811D8"/>
    <w:rsid w:val="001817DB"/>
    <w:rsid w:val="001E295B"/>
    <w:rsid w:val="00294402"/>
    <w:rsid w:val="002A6D03"/>
    <w:rsid w:val="003159A0"/>
    <w:rsid w:val="00347C38"/>
    <w:rsid w:val="0039528F"/>
    <w:rsid w:val="003B08F8"/>
    <w:rsid w:val="003C78EE"/>
    <w:rsid w:val="003F2E6D"/>
    <w:rsid w:val="003F490C"/>
    <w:rsid w:val="0042694A"/>
    <w:rsid w:val="0045152C"/>
    <w:rsid w:val="00454B4F"/>
    <w:rsid w:val="004B5DFF"/>
    <w:rsid w:val="004F3CD7"/>
    <w:rsid w:val="004F5259"/>
    <w:rsid w:val="004F7B36"/>
    <w:rsid w:val="00506607"/>
    <w:rsid w:val="005D309B"/>
    <w:rsid w:val="005E0232"/>
    <w:rsid w:val="005F6DC1"/>
    <w:rsid w:val="0065369F"/>
    <w:rsid w:val="006D5CC4"/>
    <w:rsid w:val="006F340D"/>
    <w:rsid w:val="00795A39"/>
    <w:rsid w:val="007D3BA7"/>
    <w:rsid w:val="007F452D"/>
    <w:rsid w:val="008163A1"/>
    <w:rsid w:val="00831089"/>
    <w:rsid w:val="008641AC"/>
    <w:rsid w:val="008A6A8A"/>
    <w:rsid w:val="008F4D87"/>
    <w:rsid w:val="00915F12"/>
    <w:rsid w:val="00965250"/>
    <w:rsid w:val="009768CC"/>
    <w:rsid w:val="009A5ECA"/>
    <w:rsid w:val="009B1B38"/>
    <w:rsid w:val="009B576D"/>
    <w:rsid w:val="009C78F0"/>
    <w:rsid w:val="00AA00C5"/>
    <w:rsid w:val="00AD70F2"/>
    <w:rsid w:val="00AE07F7"/>
    <w:rsid w:val="00B058CA"/>
    <w:rsid w:val="00B21CF6"/>
    <w:rsid w:val="00B27830"/>
    <w:rsid w:val="00C100B3"/>
    <w:rsid w:val="00C1789F"/>
    <w:rsid w:val="00C61F4C"/>
    <w:rsid w:val="00C831AB"/>
    <w:rsid w:val="00CE3B29"/>
    <w:rsid w:val="00CE7ECE"/>
    <w:rsid w:val="00D26A6B"/>
    <w:rsid w:val="00D362DE"/>
    <w:rsid w:val="00D51F29"/>
    <w:rsid w:val="00D844A7"/>
    <w:rsid w:val="00DC2448"/>
    <w:rsid w:val="00DE6EAB"/>
    <w:rsid w:val="00F060C1"/>
    <w:rsid w:val="00F60C76"/>
    <w:rsid w:val="00F65B0A"/>
    <w:rsid w:val="00FD0DFA"/>
    <w:rsid w:val="00FF220A"/>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21F227C"/>
  <w15:chartTrackingRefBased/>
  <w15:docId w15:val="{C4F13F33-7E28-C340-A98B-CD881392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B1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B3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9B1B3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9B1B3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9B1B3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9B1B3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9B1B3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9B1B3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9B1B3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9B1B3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9B1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B3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B1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B3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9B1B38"/>
    <w:pPr>
      <w:spacing w:before="160"/>
      <w:jc w:val="center"/>
    </w:pPr>
    <w:rPr>
      <w:i/>
      <w:iCs/>
      <w:color w:val="404040" w:themeColor="text1" w:themeTint="BF"/>
    </w:rPr>
  </w:style>
  <w:style w:type="character" w:customStyle="1" w:styleId="QuoteChar">
    <w:name w:val="Quote Char"/>
    <w:basedOn w:val="DefaultParagraphFont"/>
    <w:link w:val="Quote"/>
    <w:uiPriority w:val="29"/>
    <w:rsid w:val="009B1B38"/>
    <w:rPr>
      <w:i/>
      <w:iCs/>
      <w:color w:val="404040" w:themeColor="text1" w:themeTint="BF"/>
      <w:lang w:val="en-US"/>
    </w:rPr>
  </w:style>
  <w:style w:type="paragraph" w:styleId="ListParagraph">
    <w:name w:val="List Paragraph"/>
    <w:basedOn w:val="Normal"/>
    <w:uiPriority w:val="34"/>
    <w:qFormat/>
    <w:rsid w:val="009B1B38"/>
    <w:pPr>
      <w:ind w:left="720"/>
      <w:contextualSpacing/>
    </w:pPr>
  </w:style>
  <w:style w:type="character" w:styleId="IntenseEmphasis">
    <w:name w:val="Intense Emphasis"/>
    <w:basedOn w:val="DefaultParagraphFont"/>
    <w:uiPriority w:val="21"/>
    <w:qFormat/>
    <w:rsid w:val="009B1B38"/>
    <w:rPr>
      <w:i/>
      <w:iCs/>
      <w:color w:val="0F4761" w:themeColor="accent1" w:themeShade="BF"/>
    </w:rPr>
  </w:style>
  <w:style w:type="paragraph" w:styleId="IntenseQuote">
    <w:name w:val="Intense Quote"/>
    <w:basedOn w:val="Normal"/>
    <w:next w:val="Normal"/>
    <w:link w:val="IntenseQuoteChar"/>
    <w:uiPriority w:val="30"/>
    <w:qFormat/>
    <w:rsid w:val="009B1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B38"/>
    <w:rPr>
      <w:i/>
      <w:iCs/>
      <w:color w:val="0F4761" w:themeColor="accent1" w:themeShade="BF"/>
      <w:lang w:val="en-US"/>
    </w:rPr>
  </w:style>
  <w:style w:type="character" w:styleId="IntenseReference">
    <w:name w:val="Intense Reference"/>
    <w:basedOn w:val="DefaultParagraphFont"/>
    <w:uiPriority w:val="32"/>
    <w:qFormat/>
    <w:rsid w:val="009B1B38"/>
    <w:rPr>
      <w:b/>
      <w:bCs/>
      <w:smallCaps/>
      <w:color w:val="0F4761" w:themeColor="accent1" w:themeShade="BF"/>
      <w:spacing w:val="5"/>
    </w:rPr>
  </w:style>
  <w:style w:type="table" w:styleId="TableGrid">
    <w:name w:val="Table Grid"/>
    <w:basedOn w:val="TableNormal"/>
    <w:uiPriority w:val="39"/>
    <w:rsid w:val="000B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Yifan Li</dc:creator>
  <cp:keywords/>
  <dc:description/>
  <cp:lastModifiedBy>Yifan Li</cp:lastModifiedBy>
  <cp:revision>59</cp:revision>
  <dcterms:created xsi:type="dcterms:W3CDTF">2026-01-14T06:50:00Z</dcterms:created>
  <dcterms:modified xsi:type="dcterms:W3CDTF">2026-01-16T03:41:00Z</dcterms:modified>
</cp:coreProperties>
</file>