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CBD7B">
      <w:pPr>
        <w:spacing w:after="160"/>
        <w:jc w:val="center"/>
        <w:rPr>
          <w:rFonts w:hAnsi="宋体"/>
          <w:b/>
          <w:bCs/>
          <w:sz w:val="32"/>
          <w:szCs w:val="32"/>
        </w:rPr>
      </w:pPr>
      <w:r>
        <w:rPr>
          <w:rFonts w:hint="eastAsia" w:hAnsi="宋体"/>
          <w:b/>
          <w:bCs/>
          <w:sz w:val="32"/>
          <w:szCs w:val="32"/>
        </w:rPr>
        <w:t>国际贸易法：商事外交、谈判与争端解决</w:t>
      </w:r>
    </w:p>
    <w:p w14:paraId="0088F459">
      <w:pPr>
        <w:spacing w:after="160"/>
        <w:jc w:val="center"/>
        <w:rPr>
          <w:rFonts w:hAnsi="宋体"/>
          <w:b/>
          <w:bCs/>
          <w:sz w:val="28"/>
          <w:szCs w:val="28"/>
        </w:rPr>
      </w:pPr>
      <w:r>
        <w:rPr>
          <w:rFonts w:hAnsi="宋体"/>
          <w:b/>
          <w:bCs/>
          <w:sz w:val="28"/>
          <w:szCs w:val="28"/>
        </w:rPr>
        <w:t>International Trade Law: Commercial Diplomacy, Negotiations and Dispute Settlement</w:t>
      </w:r>
    </w:p>
    <w:p w14:paraId="6C4B7B76">
      <w:pPr>
        <w:spacing w:before="100" w:beforeAutospacing="1" w:after="100" w:afterAutospacing="1"/>
        <w:rPr>
          <w:rFonts w:hAnsi="宋体"/>
          <w:b/>
          <w:bCs/>
          <w:color w:val="000080"/>
          <w:sz w:val="24"/>
          <w:szCs w:val="24"/>
        </w:rPr>
      </w:pPr>
      <w:r>
        <w:rPr>
          <w:rFonts w:hint="eastAsia" w:hAnsi="宋体"/>
          <w:b/>
          <w:bCs/>
          <w:color w:val="000080"/>
          <w:sz w:val="24"/>
          <w:szCs w:val="24"/>
        </w:rPr>
        <w:t>课程主讲人简介</w:t>
      </w:r>
    </w:p>
    <w:p w14:paraId="7C69F377">
      <w:pPr>
        <w:spacing w:after="160" w:line="276" w:lineRule="auto"/>
        <w:ind w:firstLine="360" w:firstLineChars="200"/>
        <w:rPr>
          <w:rFonts w:hAnsi="宋体"/>
          <w:color w:val="000000"/>
          <w:sz w:val="18"/>
          <w:szCs w:val="18"/>
        </w:rPr>
      </w:pPr>
      <w:r>
        <w:rPr>
          <w:rFonts w:hint="eastAsia" w:hAnsi="宋体"/>
          <w:color w:val="000000"/>
          <w:sz w:val="18"/>
          <w:szCs w:val="18"/>
        </w:rPr>
        <w:t>拉詹·苏德什·拉特纳先生</w:t>
      </w:r>
      <w:r>
        <w:rPr>
          <w:rFonts w:hint="eastAsia" w:hAnsi="宋体"/>
          <w:color w:val="000000"/>
          <w:sz w:val="18"/>
          <w:szCs w:val="18"/>
          <w:lang w:eastAsia="zh-CN"/>
        </w:rPr>
        <w:t>，</w:t>
      </w:r>
      <w:r>
        <w:rPr>
          <w:rFonts w:hint="eastAsia" w:hAnsi="宋体"/>
          <w:color w:val="000000"/>
          <w:sz w:val="18"/>
          <w:szCs w:val="18"/>
          <w:lang w:val="en-US" w:eastAsia="zh-CN"/>
        </w:rPr>
        <w:t>目前担任印度全球南方卓越中心负责人；曾于</w:t>
      </w:r>
      <w:r>
        <w:rPr>
          <w:rFonts w:hint="eastAsia" w:hAnsi="宋体"/>
          <w:color w:val="000000"/>
          <w:sz w:val="18"/>
          <w:szCs w:val="18"/>
        </w:rPr>
        <w:t>2018年8月</w:t>
      </w:r>
      <w:r>
        <w:rPr>
          <w:rFonts w:hint="eastAsia" w:hAnsi="宋体"/>
          <w:color w:val="000000"/>
          <w:sz w:val="18"/>
          <w:szCs w:val="18"/>
          <w:lang w:val="en-US" w:eastAsia="zh-CN"/>
        </w:rPr>
        <w:t>至2026年2月</w:t>
      </w:r>
      <w:r>
        <w:rPr>
          <w:rFonts w:hint="eastAsia" w:hAnsi="宋体"/>
          <w:color w:val="000000"/>
          <w:sz w:val="18"/>
          <w:szCs w:val="18"/>
        </w:rPr>
        <w:t>担任联合国亚洲及太平洋经济社会委员会南亚和西南亚办事处副司长；2012年7月至2018年8月在联合国驻曼谷贸易、投资和创新司工作，负责世界贸易组织和区域贸易协定方面的贸易政策和贸易谈判的研究和能力建设工作。拉特纳先生不仅拥有丰富的国际贸易谈判和国际组织工作经验，还拥有博士学位和教学经历，也已发表国际贸易法领域系列论文，具有深厚的实践经验和理论素养。</w:t>
      </w:r>
    </w:p>
    <w:p w14:paraId="75597EE2">
      <w:pPr>
        <w:spacing w:before="100" w:beforeAutospacing="1" w:after="100" w:afterAutospacing="1"/>
        <w:rPr>
          <w:rFonts w:hAnsi="宋体"/>
          <w:b/>
          <w:bCs/>
          <w:color w:val="000080"/>
          <w:sz w:val="24"/>
          <w:szCs w:val="24"/>
        </w:rPr>
      </w:pPr>
      <w:bookmarkStart w:id="0" w:name="OLE_LINK4"/>
      <w:bookmarkStart w:id="1" w:name="OLE_LINK5"/>
      <w:bookmarkStart w:id="2" w:name="OLE_LINK2"/>
      <w:bookmarkStart w:id="3" w:name="OLE_LINK1"/>
      <w:r>
        <w:rPr>
          <w:rFonts w:hAnsi="宋体"/>
          <w:b/>
          <w:bCs/>
          <w:color w:val="000080"/>
          <w:sz w:val="24"/>
          <w:szCs w:val="24"/>
        </w:rPr>
        <w:t>Profile</w:t>
      </w:r>
      <w:bookmarkEnd w:id="0"/>
      <w:bookmarkEnd w:id="1"/>
    </w:p>
    <w:bookmarkEnd w:id="2"/>
    <w:bookmarkEnd w:id="3"/>
    <w:p w14:paraId="75F93C8E">
      <w:pPr>
        <w:spacing w:after="160" w:line="276" w:lineRule="auto"/>
        <w:ind w:firstLine="360" w:firstLineChars="200"/>
        <w:rPr>
          <w:color w:val="000000"/>
          <w:sz w:val="18"/>
          <w:szCs w:val="18"/>
        </w:rPr>
      </w:pPr>
      <w:r>
        <w:rPr>
          <w:color w:val="000000"/>
          <w:sz w:val="18"/>
          <w:szCs w:val="18"/>
        </w:rPr>
        <w:t>Dr. Rajan Sudesh Ratna presently works as Deputy Head of South and South-West Office of UN ESCAP, New Delhi since August 2018. He worked in Trade, Investment and Innovation Division in Bangkok from July 2012 to August 2018, where he handled the work of research and capacity building on WTO and RTAs trade policy and trade negotiations.</w:t>
      </w:r>
      <w:r>
        <w:rPr>
          <w:rFonts w:hint="eastAsia"/>
          <w:color w:val="000000"/>
          <w:sz w:val="18"/>
          <w:szCs w:val="18"/>
        </w:rPr>
        <w:t xml:space="preserve"> Dr. Ratna does not only have rich working experience in international trade negotiations and handling the issues of international organizations, but also has published a number of papers on international trade law, which present Mr. Ratna</w:t>
      </w:r>
      <w:r>
        <w:rPr>
          <w:color w:val="000000"/>
          <w:sz w:val="18"/>
          <w:szCs w:val="18"/>
        </w:rPr>
        <w:t>’</w:t>
      </w:r>
      <w:r>
        <w:rPr>
          <w:rFonts w:hint="eastAsia"/>
          <w:color w:val="000000"/>
          <w:sz w:val="18"/>
          <w:szCs w:val="18"/>
        </w:rPr>
        <w:t>s expertise in legal practice and theory.</w:t>
      </w:r>
    </w:p>
    <w:tbl>
      <w:tblPr>
        <w:tblStyle w:val="3"/>
        <w:tblpPr w:leftFromText="180" w:rightFromText="180" w:vertAnchor="text" w:horzAnchor="margin" w:tblpX="74" w:tblpY="7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4678"/>
      </w:tblGrid>
      <w:tr w14:paraId="1FE836AB">
        <w:trPr>
          <w:trHeight w:val="472" w:hRule="atLeast"/>
        </w:trPr>
        <w:tc>
          <w:tcPr>
            <w:tcW w:w="3686" w:type="dxa"/>
            <w:shd w:val="clear" w:color="auto" w:fill="B8CCE4"/>
            <w:vAlign w:val="center"/>
          </w:tcPr>
          <w:p w14:paraId="6D72DFE2">
            <w:pPr>
              <w:spacing w:after="160"/>
              <w:rPr>
                <w:b/>
                <w:bCs/>
                <w:color w:val="1F497D"/>
                <w:sz w:val="15"/>
                <w:szCs w:val="15"/>
              </w:rPr>
            </w:pPr>
            <w:r>
              <w:rPr>
                <w:rFonts w:hAnsi="宋体"/>
                <w:b/>
                <w:bCs/>
                <w:color w:val="1F497D"/>
                <w:sz w:val="15"/>
                <w:szCs w:val="15"/>
              </w:rPr>
              <w:t>院系</w:t>
            </w:r>
            <w:r>
              <w:rPr>
                <w:b/>
                <w:bCs/>
                <w:color w:val="1F497D"/>
                <w:sz w:val="15"/>
                <w:szCs w:val="15"/>
              </w:rPr>
              <w:t xml:space="preserve"> </w:t>
            </w:r>
            <w:r>
              <w:rPr>
                <w:rFonts w:hint="eastAsia"/>
                <w:b/>
                <w:bCs/>
                <w:color w:val="1F497D"/>
                <w:sz w:val="15"/>
                <w:szCs w:val="15"/>
              </w:rPr>
              <w:t xml:space="preserve"> </w:t>
            </w:r>
            <w:r>
              <w:rPr>
                <w:b/>
                <w:bCs/>
                <w:color w:val="1F497D"/>
                <w:sz w:val="15"/>
                <w:szCs w:val="15"/>
              </w:rPr>
              <w:t>School</w:t>
            </w:r>
          </w:p>
        </w:tc>
        <w:tc>
          <w:tcPr>
            <w:tcW w:w="4678" w:type="dxa"/>
            <w:vAlign w:val="center"/>
          </w:tcPr>
          <w:p w14:paraId="4983410A">
            <w:pPr>
              <w:spacing w:after="160"/>
              <w:rPr>
                <w:rFonts w:hint="eastAsia"/>
                <w:color w:val="000000"/>
                <w:sz w:val="15"/>
                <w:szCs w:val="15"/>
              </w:rPr>
            </w:pPr>
            <w:r>
              <w:rPr>
                <w:rFonts w:hint="eastAsia" w:hAnsi="宋体"/>
                <w:color w:val="000000"/>
                <w:sz w:val="15"/>
                <w:szCs w:val="15"/>
              </w:rPr>
              <w:t>国际法学院</w:t>
            </w:r>
            <w:r>
              <w:rPr>
                <w:color w:val="000000"/>
                <w:sz w:val="15"/>
                <w:szCs w:val="15"/>
              </w:rPr>
              <w:t xml:space="preserve"> </w:t>
            </w:r>
            <w:r>
              <w:rPr>
                <w:rFonts w:hAnsi="宋体"/>
                <w:color w:val="000000"/>
                <w:sz w:val="15"/>
                <w:szCs w:val="15"/>
              </w:rPr>
              <w:t xml:space="preserve">School of </w:t>
            </w:r>
            <w:r>
              <w:rPr>
                <w:rFonts w:hint="eastAsia" w:hAnsi="宋体"/>
                <w:color w:val="000000"/>
                <w:sz w:val="15"/>
                <w:szCs w:val="15"/>
              </w:rPr>
              <w:t>International Law</w:t>
            </w:r>
          </w:p>
        </w:tc>
      </w:tr>
      <w:tr w14:paraId="65B7B78D">
        <w:trPr>
          <w:trHeight w:val="472" w:hRule="atLeast"/>
        </w:trPr>
        <w:tc>
          <w:tcPr>
            <w:tcW w:w="3686" w:type="dxa"/>
            <w:shd w:val="clear" w:color="auto" w:fill="B8CCE4"/>
            <w:vAlign w:val="center"/>
          </w:tcPr>
          <w:p w14:paraId="2570D195">
            <w:pPr>
              <w:spacing w:after="160"/>
              <w:rPr>
                <w:b/>
                <w:bCs/>
                <w:color w:val="1F497D"/>
                <w:sz w:val="15"/>
                <w:szCs w:val="15"/>
              </w:rPr>
            </w:pPr>
            <w:r>
              <w:rPr>
                <w:rFonts w:hAnsi="宋体"/>
                <w:b/>
                <w:bCs/>
                <w:color w:val="1F497D"/>
                <w:sz w:val="15"/>
                <w:szCs w:val="15"/>
              </w:rPr>
              <w:t>学科门类</w:t>
            </w:r>
            <w:r>
              <w:rPr>
                <w:b/>
                <w:bCs/>
                <w:color w:val="1F497D"/>
                <w:sz w:val="15"/>
                <w:szCs w:val="15"/>
              </w:rPr>
              <w:t xml:space="preserve"> Fields of Study</w:t>
            </w:r>
          </w:p>
        </w:tc>
        <w:tc>
          <w:tcPr>
            <w:tcW w:w="4678" w:type="dxa"/>
            <w:vAlign w:val="center"/>
          </w:tcPr>
          <w:p w14:paraId="4987CB00">
            <w:pPr>
              <w:spacing w:after="160"/>
              <w:rPr>
                <w:color w:val="000000"/>
                <w:sz w:val="15"/>
                <w:szCs w:val="15"/>
              </w:rPr>
            </w:pPr>
            <w:r>
              <w:rPr>
                <w:rFonts w:hint="eastAsia" w:hAnsi="宋体"/>
                <w:color w:val="000000"/>
                <w:sz w:val="15"/>
                <w:szCs w:val="15"/>
              </w:rPr>
              <w:t>法</w:t>
            </w:r>
            <w:r>
              <w:rPr>
                <w:rFonts w:hAnsi="宋体"/>
                <w:color w:val="000000"/>
                <w:sz w:val="15"/>
                <w:szCs w:val="15"/>
              </w:rPr>
              <w:t>学</w:t>
            </w:r>
            <w:r>
              <w:rPr>
                <w:color w:val="000000"/>
                <w:sz w:val="15"/>
                <w:szCs w:val="15"/>
              </w:rPr>
              <w:t xml:space="preserve"> </w:t>
            </w:r>
            <w:r>
              <w:rPr>
                <w:rFonts w:hint="eastAsia"/>
                <w:color w:val="000000"/>
                <w:sz w:val="15"/>
                <w:szCs w:val="15"/>
              </w:rPr>
              <w:t>Law</w:t>
            </w:r>
          </w:p>
        </w:tc>
      </w:tr>
      <w:tr w14:paraId="71AC4199">
        <w:trPr>
          <w:trHeight w:val="472" w:hRule="atLeast"/>
        </w:trPr>
        <w:tc>
          <w:tcPr>
            <w:tcW w:w="3686" w:type="dxa"/>
            <w:shd w:val="clear" w:color="auto" w:fill="B8CCE4"/>
            <w:vAlign w:val="center"/>
          </w:tcPr>
          <w:p w14:paraId="0AC11E1A">
            <w:pPr>
              <w:spacing w:after="160"/>
              <w:rPr>
                <w:b/>
                <w:bCs/>
                <w:color w:val="1F497D"/>
                <w:sz w:val="15"/>
                <w:szCs w:val="15"/>
              </w:rPr>
            </w:pPr>
            <w:r>
              <w:rPr>
                <w:rFonts w:hAnsi="宋体"/>
                <w:b/>
                <w:bCs/>
                <w:color w:val="1F497D"/>
                <w:sz w:val="15"/>
                <w:szCs w:val="15"/>
              </w:rPr>
              <w:t>所属一级学科名称</w:t>
            </w:r>
            <w:r>
              <w:rPr>
                <w:b/>
                <w:bCs/>
                <w:color w:val="1F497D"/>
                <w:sz w:val="15"/>
                <w:szCs w:val="15"/>
              </w:rPr>
              <w:t xml:space="preserve"> Disciplines</w:t>
            </w:r>
          </w:p>
        </w:tc>
        <w:tc>
          <w:tcPr>
            <w:tcW w:w="4678" w:type="dxa"/>
            <w:vAlign w:val="center"/>
          </w:tcPr>
          <w:p w14:paraId="185C79E5">
            <w:pPr>
              <w:spacing w:after="160"/>
              <w:rPr>
                <w:color w:val="000000"/>
                <w:sz w:val="15"/>
                <w:szCs w:val="15"/>
              </w:rPr>
            </w:pPr>
            <w:r>
              <w:rPr>
                <w:rFonts w:hint="eastAsia" w:hAnsi="宋体"/>
                <w:color w:val="000000"/>
                <w:sz w:val="15"/>
                <w:szCs w:val="15"/>
              </w:rPr>
              <w:t>国际</w:t>
            </w:r>
            <w:r>
              <w:rPr>
                <w:rFonts w:hAnsi="宋体"/>
                <w:color w:val="000000"/>
                <w:sz w:val="15"/>
                <w:szCs w:val="15"/>
              </w:rPr>
              <w:t>学类</w:t>
            </w:r>
            <w:r>
              <w:rPr>
                <w:color w:val="000000"/>
                <w:sz w:val="15"/>
                <w:szCs w:val="15"/>
              </w:rPr>
              <w:t xml:space="preserve"> </w:t>
            </w:r>
            <w:r>
              <w:rPr>
                <w:rFonts w:hint="eastAsia"/>
                <w:color w:val="000000"/>
                <w:sz w:val="15"/>
                <w:szCs w:val="15"/>
              </w:rPr>
              <w:t>International law</w:t>
            </w:r>
            <w:r>
              <w:rPr>
                <w:color w:val="000000"/>
                <w:sz w:val="15"/>
                <w:szCs w:val="15"/>
              </w:rPr>
              <w:t xml:space="preserve"> field</w:t>
            </w:r>
          </w:p>
        </w:tc>
      </w:tr>
      <w:tr w14:paraId="663C62F0">
        <w:trPr>
          <w:trHeight w:val="472" w:hRule="atLeast"/>
        </w:trPr>
        <w:tc>
          <w:tcPr>
            <w:tcW w:w="3686" w:type="dxa"/>
            <w:shd w:val="clear" w:color="auto" w:fill="B8CCE4"/>
            <w:vAlign w:val="center"/>
          </w:tcPr>
          <w:p w14:paraId="45ADC19E">
            <w:pPr>
              <w:spacing w:after="160"/>
              <w:rPr>
                <w:b/>
                <w:bCs/>
                <w:color w:val="1F497D"/>
                <w:sz w:val="15"/>
                <w:szCs w:val="15"/>
              </w:rPr>
            </w:pPr>
            <w:r>
              <w:rPr>
                <w:rFonts w:hAnsi="宋体"/>
                <w:b/>
                <w:bCs/>
                <w:color w:val="1F497D"/>
                <w:sz w:val="15"/>
                <w:szCs w:val="15"/>
              </w:rPr>
              <w:t>所属二级学科名称</w:t>
            </w:r>
            <w:r>
              <w:rPr>
                <w:b/>
                <w:bCs/>
                <w:color w:val="1F497D"/>
                <w:sz w:val="15"/>
                <w:szCs w:val="15"/>
              </w:rPr>
              <w:t xml:space="preserve"> Sub-Disciplines</w:t>
            </w:r>
          </w:p>
        </w:tc>
        <w:tc>
          <w:tcPr>
            <w:tcW w:w="4678" w:type="dxa"/>
            <w:vAlign w:val="center"/>
          </w:tcPr>
          <w:p w14:paraId="151CF62D">
            <w:pPr>
              <w:spacing w:after="160"/>
              <w:rPr>
                <w:rFonts w:hint="eastAsia"/>
                <w:color w:val="000000"/>
                <w:sz w:val="15"/>
                <w:szCs w:val="15"/>
              </w:rPr>
            </w:pPr>
            <w:r>
              <w:rPr>
                <w:rFonts w:hint="eastAsia" w:hAnsi="宋体"/>
                <w:color w:val="000000"/>
                <w:sz w:val="15"/>
                <w:szCs w:val="15"/>
              </w:rPr>
              <w:t>国际经济法</w:t>
            </w:r>
            <w:r>
              <w:rPr>
                <w:rFonts w:hAnsi="宋体"/>
                <w:color w:val="000000"/>
                <w:sz w:val="15"/>
                <w:szCs w:val="15"/>
              </w:rPr>
              <w:t>学</w:t>
            </w:r>
            <w:r>
              <w:rPr>
                <w:color w:val="000000"/>
                <w:sz w:val="15"/>
                <w:szCs w:val="15"/>
              </w:rPr>
              <w:t xml:space="preserve"> </w:t>
            </w:r>
            <w:r>
              <w:rPr>
                <w:rFonts w:hint="eastAsia"/>
                <w:color w:val="000000"/>
                <w:sz w:val="15"/>
                <w:szCs w:val="15"/>
              </w:rPr>
              <w:t>International economic law</w:t>
            </w:r>
          </w:p>
        </w:tc>
      </w:tr>
      <w:tr w14:paraId="40548DFD">
        <w:trPr>
          <w:trHeight w:val="472" w:hRule="atLeast"/>
        </w:trPr>
        <w:tc>
          <w:tcPr>
            <w:tcW w:w="3686" w:type="dxa"/>
            <w:shd w:val="clear" w:color="auto" w:fill="B8CCE4"/>
            <w:vAlign w:val="center"/>
          </w:tcPr>
          <w:p w14:paraId="6061776B">
            <w:pPr>
              <w:spacing w:after="160"/>
              <w:rPr>
                <w:rFonts w:hAnsi="宋体"/>
                <w:b/>
                <w:bCs/>
                <w:color w:val="1F497D"/>
                <w:sz w:val="15"/>
                <w:szCs w:val="15"/>
              </w:rPr>
            </w:pPr>
            <w:r>
              <w:rPr>
                <w:rFonts w:hint="eastAsia" w:hAnsi="宋体"/>
                <w:b/>
                <w:bCs/>
                <w:color w:val="1F497D"/>
                <w:sz w:val="15"/>
                <w:szCs w:val="15"/>
              </w:rPr>
              <w:t>先修课程</w:t>
            </w:r>
            <w:r>
              <w:rPr>
                <w:b/>
                <w:bCs/>
                <w:color w:val="1F497D"/>
                <w:sz w:val="15"/>
                <w:szCs w:val="15"/>
              </w:rPr>
              <w:t xml:space="preserve"> Prerequisites</w:t>
            </w:r>
          </w:p>
        </w:tc>
        <w:tc>
          <w:tcPr>
            <w:tcW w:w="4678" w:type="dxa"/>
            <w:vAlign w:val="center"/>
          </w:tcPr>
          <w:p w14:paraId="6693CA58">
            <w:pPr>
              <w:spacing w:after="160"/>
              <w:rPr>
                <w:rFonts w:hAnsi="宋体"/>
                <w:color w:val="000000"/>
                <w:sz w:val="15"/>
                <w:szCs w:val="15"/>
              </w:rPr>
            </w:pPr>
            <w:r>
              <w:rPr>
                <w:rFonts w:hint="eastAsia"/>
                <w:color w:val="000000"/>
                <w:sz w:val="15"/>
                <w:szCs w:val="15"/>
              </w:rPr>
              <w:t>无</w:t>
            </w:r>
            <w:r>
              <w:rPr>
                <w:sz w:val="15"/>
                <w:szCs w:val="15"/>
              </w:rPr>
              <w:t xml:space="preserve"> </w:t>
            </w:r>
            <w:r>
              <w:rPr>
                <w:rFonts w:hint="eastAsia"/>
                <w:sz w:val="15"/>
                <w:szCs w:val="15"/>
              </w:rPr>
              <w:t>None</w:t>
            </w:r>
          </w:p>
        </w:tc>
      </w:tr>
      <w:tr w14:paraId="0230C62C">
        <w:trPr>
          <w:trHeight w:val="472" w:hRule="atLeast"/>
        </w:trPr>
        <w:tc>
          <w:tcPr>
            <w:tcW w:w="3686" w:type="dxa"/>
            <w:shd w:val="clear" w:color="auto" w:fill="B8CCE4"/>
            <w:vAlign w:val="center"/>
          </w:tcPr>
          <w:p w14:paraId="07678676">
            <w:pPr>
              <w:spacing w:after="160" w:line="240" w:lineRule="exact"/>
              <w:rPr>
                <w:b/>
                <w:bCs/>
                <w:color w:val="1F497D"/>
                <w:sz w:val="15"/>
                <w:szCs w:val="15"/>
              </w:rPr>
            </w:pPr>
            <w:r>
              <w:rPr>
                <w:rFonts w:hAnsi="宋体"/>
                <w:b/>
                <w:bCs/>
                <w:color w:val="1F497D"/>
                <w:sz w:val="15"/>
                <w:szCs w:val="15"/>
              </w:rPr>
              <w:t>选课对象</w:t>
            </w:r>
            <w:r>
              <w:rPr>
                <w:b/>
                <w:bCs/>
                <w:color w:val="1F497D"/>
                <w:sz w:val="15"/>
                <w:szCs w:val="15"/>
              </w:rPr>
              <w:t xml:space="preserve"> Registration Recommendations</w:t>
            </w:r>
          </w:p>
        </w:tc>
        <w:tc>
          <w:tcPr>
            <w:tcW w:w="4678" w:type="dxa"/>
            <w:vAlign w:val="center"/>
          </w:tcPr>
          <w:p w14:paraId="1222DE05">
            <w:pPr>
              <w:spacing w:after="160"/>
              <w:rPr>
                <w:color w:val="000000"/>
                <w:sz w:val="15"/>
                <w:szCs w:val="15"/>
              </w:rPr>
            </w:pPr>
            <w:r>
              <w:rPr>
                <w:rFonts w:hint="eastAsia" w:hAnsi="宋体"/>
                <w:color w:val="000000"/>
                <w:sz w:val="15"/>
                <w:szCs w:val="15"/>
              </w:rPr>
              <w:t>全校</w:t>
            </w:r>
            <w:r>
              <w:rPr>
                <w:rFonts w:hAnsi="宋体"/>
                <w:color w:val="000000"/>
                <w:sz w:val="15"/>
                <w:szCs w:val="15"/>
              </w:rPr>
              <w:t>本科生</w:t>
            </w:r>
            <w:r>
              <w:rPr>
                <w:rFonts w:hint="eastAsia" w:hAnsi="宋体"/>
                <w:color w:val="000000"/>
                <w:sz w:val="15"/>
                <w:szCs w:val="15"/>
              </w:rPr>
              <w:t xml:space="preserve"> All the u</w:t>
            </w:r>
            <w:r>
              <w:rPr>
                <w:color w:val="000000"/>
                <w:sz w:val="15"/>
                <w:szCs w:val="15"/>
              </w:rPr>
              <w:t>ndergraduate students</w:t>
            </w:r>
          </w:p>
        </w:tc>
      </w:tr>
      <w:tr w14:paraId="23AD9AA5">
        <w:trPr>
          <w:trHeight w:val="472" w:hRule="atLeast"/>
        </w:trPr>
        <w:tc>
          <w:tcPr>
            <w:tcW w:w="3686" w:type="dxa"/>
            <w:shd w:val="clear" w:color="auto" w:fill="B8CCE4"/>
            <w:vAlign w:val="center"/>
          </w:tcPr>
          <w:p w14:paraId="7F7A046D">
            <w:pPr>
              <w:spacing w:after="160" w:line="240" w:lineRule="exact"/>
              <w:rPr>
                <w:rFonts w:hAnsi="宋体"/>
                <w:b/>
                <w:bCs/>
                <w:color w:val="1F497D"/>
                <w:sz w:val="15"/>
                <w:szCs w:val="15"/>
              </w:rPr>
            </w:pPr>
            <w:r>
              <w:rPr>
                <w:rFonts w:hAnsi="宋体"/>
                <w:b/>
                <w:bCs/>
                <w:color w:val="1F497D"/>
                <w:sz w:val="15"/>
                <w:szCs w:val="15"/>
              </w:rPr>
              <w:t>课时与学分 Lecture Hours &amp; Credits</w:t>
            </w:r>
          </w:p>
        </w:tc>
        <w:tc>
          <w:tcPr>
            <w:tcW w:w="4678" w:type="dxa"/>
            <w:vAlign w:val="center"/>
          </w:tcPr>
          <w:p w14:paraId="694A3E31">
            <w:pPr>
              <w:spacing w:after="160" w:line="240" w:lineRule="exact"/>
              <w:rPr>
                <w:rFonts w:hAnsi="宋体"/>
                <w:b/>
                <w:bCs/>
                <w:color w:val="000000"/>
                <w:sz w:val="15"/>
                <w:szCs w:val="15"/>
              </w:rPr>
            </w:pPr>
            <w:r>
              <w:rPr>
                <w:rFonts w:hint="eastAsia" w:hAnsi="宋体"/>
                <w:bCs/>
                <w:color w:val="000000"/>
                <w:sz w:val="15"/>
                <w:szCs w:val="15"/>
              </w:rPr>
              <w:t>36</w:t>
            </w:r>
            <w:r>
              <w:rPr>
                <w:rFonts w:hAnsi="宋体"/>
                <w:bCs/>
                <w:color w:val="000000"/>
                <w:sz w:val="15"/>
                <w:szCs w:val="15"/>
              </w:rPr>
              <w:t>学时；</w:t>
            </w:r>
            <w:r>
              <w:rPr>
                <w:rFonts w:hint="eastAsia" w:hAnsi="宋体"/>
                <w:bCs/>
                <w:color w:val="000000"/>
                <w:sz w:val="15"/>
                <w:szCs w:val="15"/>
              </w:rPr>
              <w:t>2</w:t>
            </w:r>
            <w:r>
              <w:rPr>
                <w:rFonts w:hAnsi="宋体"/>
                <w:bCs/>
                <w:color w:val="000000"/>
                <w:sz w:val="15"/>
                <w:szCs w:val="15"/>
              </w:rPr>
              <w:t>学分</w:t>
            </w:r>
            <w:r>
              <w:rPr>
                <w:rFonts w:hint="eastAsia" w:hAnsi="宋体"/>
                <w:b/>
                <w:bCs/>
                <w:color w:val="000000"/>
                <w:sz w:val="15"/>
                <w:szCs w:val="15"/>
              </w:rPr>
              <w:t xml:space="preserve"> </w:t>
            </w:r>
            <w:r>
              <w:rPr>
                <w:rFonts w:hint="eastAsia"/>
                <w:color w:val="000000"/>
                <w:sz w:val="15"/>
                <w:szCs w:val="15"/>
              </w:rPr>
              <w:t xml:space="preserve">36 </w:t>
            </w:r>
            <w:r>
              <w:rPr>
                <w:color w:val="000000"/>
                <w:sz w:val="15"/>
                <w:szCs w:val="15"/>
              </w:rPr>
              <w:t>Lecture Hours</w:t>
            </w:r>
            <w:r>
              <w:rPr>
                <w:rFonts w:hint="eastAsia"/>
                <w:color w:val="000000"/>
                <w:sz w:val="15"/>
                <w:szCs w:val="15"/>
              </w:rPr>
              <w:t xml:space="preserve">; 2 </w:t>
            </w:r>
            <w:r>
              <w:rPr>
                <w:color w:val="000000"/>
                <w:sz w:val="15"/>
                <w:szCs w:val="15"/>
              </w:rPr>
              <w:t>Credits</w:t>
            </w:r>
          </w:p>
        </w:tc>
      </w:tr>
      <w:tr w14:paraId="58D00018">
        <w:trPr>
          <w:trHeight w:val="472" w:hRule="atLeast"/>
        </w:trPr>
        <w:tc>
          <w:tcPr>
            <w:tcW w:w="3686" w:type="dxa"/>
            <w:shd w:val="clear" w:color="auto" w:fill="B8CCE4"/>
            <w:vAlign w:val="center"/>
          </w:tcPr>
          <w:p w14:paraId="45DDB3A1">
            <w:pPr>
              <w:spacing w:after="160"/>
              <w:rPr>
                <w:b/>
                <w:bCs/>
                <w:color w:val="1F497D"/>
                <w:sz w:val="15"/>
                <w:szCs w:val="15"/>
              </w:rPr>
            </w:pPr>
            <w:r>
              <w:rPr>
                <w:rFonts w:hint="eastAsia" w:hAnsi="宋体"/>
                <w:b/>
                <w:bCs/>
                <w:color w:val="1F497D"/>
                <w:sz w:val="15"/>
                <w:szCs w:val="15"/>
              </w:rPr>
              <w:t>授课语言</w:t>
            </w:r>
            <w:r>
              <w:rPr>
                <w:b/>
                <w:bCs/>
                <w:color w:val="1F497D"/>
                <w:sz w:val="15"/>
                <w:szCs w:val="15"/>
              </w:rPr>
              <w:t xml:space="preserve"> </w:t>
            </w:r>
            <w:r>
              <w:rPr>
                <w:rFonts w:hint="eastAsia"/>
                <w:b/>
                <w:bCs/>
                <w:color w:val="1F497D"/>
                <w:sz w:val="15"/>
                <w:szCs w:val="15"/>
              </w:rPr>
              <w:t>Language taught</w:t>
            </w:r>
          </w:p>
        </w:tc>
        <w:tc>
          <w:tcPr>
            <w:tcW w:w="4678" w:type="dxa"/>
            <w:vAlign w:val="center"/>
          </w:tcPr>
          <w:p w14:paraId="1F9A8A23">
            <w:pPr>
              <w:spacing w:after="160"/>
              <w:rPr>
                <w:color w:val="000000"/>
                <w:sz w:val="15"/>
                <w:szCs w:val="15"/>
              </w:rPr>
            </w:pPr>
            <w:r>
              <w:rPr>
                <w:rFonts w:hint="eastAsia"/>
                <w:color w:val="000000"/>
                <w:sz w:val="15"/>
                <w:szCs w:val="15"/>
              </w:rPr>
              <w:t>英语 English</w:t>
            </w:r>
          </w:p>
        </w:tc>
      </w:tr>
    </w:tbl>
    <w:p w14:paraId="3DECBE40">
      <w:pPr>
        <w:spacing w:before="100" w:beforeAutospacing="1" w:after="100" w:afterAutospacing="1"/>
        <w:rPr>
          <w:rFonts w:hAnsi="宋体"/>
          <w:b/>
          <w:bCs/>
          <w:color w:val="000080"/>
          <w:sz w:val="24"/>
          <w:szCs w:val="24"/>
        </w:rPr>
      </w:pPr>
      <w:r>
        <w:rPr>
          <w:rFonts w:hint="eastAsia" w:hAnsi="宋体"/>
          <w:b/>
          <w:bCs/>
          <w:color w:val="000080"/>
          <w:sz w:val="24"/>
          <w:szCs w:val="24"/>
        </w:rPr>
        <w:t xml:space="preserve">基本信息 </w:t>
      </w:r>
      <w:r>
        <w:rPr>
          <w:rFonts w:hAnsi="宋体"/>
          <w:b/>
          <w:bCs/>
          <w:color w:val="000080"/>
          <w:sz w:val="24"/>
          <w:szCs w:val="24"/>
        </w:rPr>
        <w:t>Basic information</w:t>
      </w:r>
    </w:p>
    <w:p w14:paraId="5E9BBF7A">
      <w:pPr>
        <w:spacing w:after="160"/>
        <w:rPr>
          <w:rFonts w:hAnsi="宋体"/>
          <w:b/>
          <w:bCs/>
          <w:color w:val="000080"/>
          <w:sz w:val="28"/>
          <w:szCs w:val="28"/>
        </w:rPr>
      </w:pPr>
    </w:p>
    <w:p w14:paraId="72CC7B6D">
      <w:pPr>
        <w:spacing w:before="100" w:beforeAutospacing="1" w:after="100" w:afterAutospacing="1"/>
        <w:rPr>
          <w:rFonts w:hAnsi="宋体"/>
          <w:b/>
          <w:bCs/>
          <w:color w:val="000080"/>
          <w:sz w:val="24"/>
          <w:szCs w:val="24"/>
        </w:rPr>
      </w:pPr>
      <w:r>
        <w:rPr>
          <w:rFonts w:hAnsi="宋体"/>
          <w:b/>
          <w:bCs/>
          <w:color w:val="000080"/>
          <w:sz w:val="28"/>
          <w:szCs w:val="28"/>
        </w:rPr>
        <w:br w:type="page"/>
      </w:r>
      <w:r>
        <w:rPr>
          <w:rFonts w:hAnsi="宋体"/>
          <w:b/>
          <w:bCs/>
          <w:color w:val="000080"/>
          <w:sz w:val="24"/>
          <w:szCs w:val="24"/>
        </w:rPr>
        <w:t>课程目标</w:t>
      </w:r>
    </w:p>
    <w:p w14:paraId="79B00D25">
      <w:pPr>
        <w:ind w:firstLine="360" w:firstLineChars="200"/>
        <w:rPr>
          <w:sz w:val="18"/>
          <w:szCs w:val="18"/>
        </w:rPr>
      </w:pPr>
      <w:r>
        <w:rPr>
          <w:rFonts w:hint="eastAsia" w:hAnsi="宋体"/>
          <w:color w:val="000000"/>
          <w:sz w:val="18"/>
          <w:szCs w:val="18"/>
        </w:rPr>
        <w:t>本课程旨在帮助学生掌握国际贸易法的复杂性、贸易谈判流程以及如何通过商事外交解决争端。鉴于当前的全球趋势，中国正受到美国限制性政策的制裁，因此中国亟需具备商事外交和贸易谈判技巧的专业人士，以帮助中国成功达成有利于自身的贸易协议</w:t>
      </w:r>
      <w:r>
        <w:rPr>
          <w:rFonts w:hAnsi="宋体"/>
          <w:color w:val="000000"/>
          <w:sz w:val="18"/>
          <w:szCs w:val="18"/>
        </w:rPr>
        <w:t>。</w:t>
      </w:r>
    </w:p>
    <w:p w14:paraId="70C83B33">
      <w:pPr>
        <w:spacing w:before="100" w:beforeAutospacing="1" w:after="100" w:afterAutospacing="1"/>
        <w:rPr>
          <w:b/>
          <w:bCs/>
          <w:color w:val="000080"/>
          <w:sz w:val="24"/>
          <w:szCs w:val="24"/>
        </w:rPr>
      </w:pPr>
      <w:r>
        <w:rPr>
          <w:b/>
          <w:bCs/>
          <w:color w:val="000080"/>
          <w:sz w:val="24"/>
          <w:szCs w:val="24"/>
        </w:rPr>
        <w:t>Learning Goals</w:t>
      </w:r>
    </w:p>
    <w:p w14:paraId="7E97E01A">
      <w:pPr>
        <w:spacing w:after="160"/>
        <w:ind w:firstLine="360" w:firstLineChars="200"/>
        <w:rPr>
          <w:color w:val="000000"/>
          <w:kern w:val="0"/>
          <w:sz w:val="18"/>
          <w:szCs w:val="18"/>
        </w:rPr>
      </w:pPr>
      <w:bookmarkStart w:id="4" w:name="OLE_LINK3"/>
      <w:r>
        <w:rPr>
          <w:color w:val="000000"/>
          <w:sz w:val="18"/>
          <w:szCs w:val="18"/>
        </w:rPr>
        <w:t xml:space="preserve">This course aims to help students grasp the complexities of international trade law, the trade negotiation process, and how to resolve disputes through commercial diplomacy. Given current global trends and the sanctions imposed by restrictive US policies, China urgently needs professionals with commercial diplomacy and trade negotiation skills to help it successfully reach trade agreements that benefit </w:t>
      </w:r>
      <w:r>
        <w:rPr>
          <w:rFonts w:hint="eastAsia"/>
          <w:color w:val="000000"/>
          <w:sz w:val="18"/>
          <w:szCs w:val="18"/>
        </w:rPr>
        <w:t>China</w:t>
      </w:r>
      <w:r>
        <w:rPr>
          <w:color w:val="000000"/>
          <w:sz w:val="18"/>
          <w:szCs w:val="18"/>
        </w:rPr>
        <w:t>.</w:t>
      </w:r>
    </w:p>
    <w:bookmarkEnd w:id="4"/>
    <w:p w14:paraId="38E0B4CA">
      <w:pPr>
        <w:spacing w:before="100" w:beforeAutospacing="1" w:after="100" w:afterAutospacing="1"/>
        <w:rPr>
          <w:rFonts w:ascii="仿宋_GB2312" w:hAnsi="宋体" w:eastAsia="仿宋_GB2312" w:cs="宋体"/>
          <w:kern w:val="0"/>
          <w:sz w:val="24"/>
          <w:szCs w:val="24"/>
        </w:rPr>
      </w:pPr>
      <w:r>
        <w:rPr>
          <w:rFonts w:hint="eastAsia" w:hAnsi="宋体"/>
          <w:b/>
          <w:bCs/>
          <w:color w:val="000080"/>
          <w:sz w:val="24"/>
          <w:szCs w:val="24"/>
        </w:rPr>
        <w:t>课程内容</w:t>
      </w:r>
    </w:p>
    <w:p w14:paraId="45587C34">
      <w:pPr>
        <w:ind w:firstLine="360" w:firstLineChars="200"/>
        <w:rPr>
          <w:rFonts w:hAnsi="宋体"/>
          <w:color w:val="000000"/>
          <w:sz w:val="18"/>
          <w:szCs w:val="18"/>
        </w:rPr>
      </w:pPr>
      <w:r>
        <w:rPr>
          <w:rFonts w:hint="eastAsia" w:hAnsi="宋体"/>
          <w:color w:val="000000"/>
          <w:sz w:val="18"/>
          <w:szCs w:val="18"/>
        </w:rPr>
        <w:t>课程包括五个模块，涵盖理论讲解和学生模拟谈判。内容如下：（1）商业外交基础，本节课将向学生讲解商事外交的概念、参与者及其在促进国家经济利益方面的战略意义。课程将探讨外交使团如何支持贸易和投资，以及商事外交如何与外交政策相交融。（2）贸易协定与组织，本节深入探讨贸易政策协定的架构。课程将介绍世贸组织协定及其当前的改革。此外，还将讨论贸易政策的制定方式以及利益相关方在贸易政策制定中的作用。（3）区域贸易协定，本节探讨区域贸易协定日益增长的重要性及其对全球贸易格局的影响，还将讨论区域贸易协定的全球性规则。（4）区域贸易协定中的原产地规则条款，本节将讨论世贸组织非优惠原产地规则和优惠原产地规则，探讨两种不同类型原产地规则的目标及其执行情况。（5）贸易争端解决机制，本节将全面概述多边、诸边和双边层面的贸易争端解决机制。内容包括对里程碑式案例的分析，以及在提起或抗辩争端时的战略考量。</w:t>
      </w:r>
    </w:p>
    <w:p w14:paraId="34D0EF32">
      <w:pPr>
        <w:spacing w:before="100" w:beforeAutospacing="1" w:after="100" w:afterAutospacing="1"/>
        <w:jc w:val="left"/>
        <w:rPr>
          <w:rFonts w:hAnsi="宋体"/>
          <w:b/>
          <w:bCs/>
          <w:color w:val="000080"/>
          <w:sz w:val="24"/>
          <w:szCs w:val="24"/>
        </w:rPr>
      </w:pPr>
      <w:r>
        <w:rPr>
          <w:rFonts w:hint="eastAsia" w:hAnsi="宋体"/>
          <w:b/>
          <w:bCs/>
          <w:color w:val="000080"/>
          <w:sz w:val="24"/>
          <w:szCs w:val="24"/>
        </w:rPr>
        <w:t>Content</w:t>
      </w:r>
    </w:p>
    <w:p w14:paraId="2169A014">
      <w:pPr>
        <w:ind w:firstLine="420" w:firstLineChars="200"/>
      </w:pPr>
      <w:r>
        <w:t xml:space="preserve">The course </w:t>
      </w:r>
      <w:r>
        <w:rPr>
          <w:rFonts w:hAnsi="宋体"/>
          <w:color w:val="000000"/>
          <w:sz w:val="18"/>
          <w:szCs w:val="18"/>
        </w:rPr>
        <w:t>consists</w:t>
      </w:r>
      <w:r>
        <w:t xml:space="preserve"> of five modules, covering theoretical explanations and student simulation negotiations. The content is as follows: (1) Foundations of Commercial Diplomacy: This lesson will explain the concept of commercial diplomacy, its participants, and its strategic significance in promoting national economic interests. The course will explore how diplomatic missions support trade and investment, and how commercial diplomacy is integrated with foreign policy. (2) Trade Agreements and Organizations: This lesson will explore the framework of trade policy agreements. The course will introduce the WTO agreements and their current reforms. In addition, it will discuss the ways in which trade policy is formulated and the role of stakeholders in the formulation of trade policy. (3) Regional Trade Agreements: This lesson will explore the growing importance of regional trade agreements and their impact on the global trade landscape. It will also discuss the global rules of regional trade agreements. (4) Rules of Origin Clauses in Regional Trade Agreements: This lesson will discuss the WTO's non-preferential rules of origin and preferential rules of origin, and explore the objectives and implementation of the two different types of rules of origin. (5) Trade Dispute Settlement Mechanisms: This lesson will provide a comprehensive overview of trade dispute settlement mechanisms at the multilateral, plurilateral, and bilateral levels. The content includes analysis of landmark cases and strategic considerations when initiating or defending a dispute.</w:t>
      </w:r>
    </w:p>
    <w:p w14:paraId="062A6186">
      <w:pPr>
        <w:ind w:firstLine="420" w:firstLineChars="200"/>
      </w:pPr>
    </w:p>
    <w:p w14:paraId="2D60D8FB">
      <w:pPr>
        <w:spacing w:before="100" w:beforeAutospacing="1" w:after="100" w:afterAutospacing="1"/>
        <w:jc w:val="left"/>
        <w:rPr>
          <w:rFonts w:hint="eastAsia" w:hAnsi="宋体"/>
          <w:b/>
          <w:bCs/>
          <w:color w:val="000080"/>
          <w:sz w:val="24"/>
          <w:szCs w:val="24"/>
          <w:lang w:val="en-US" w:eastAsia="zh-CN"/>
        </w:rPr>
      </w:pPr>
      <w:r>
        <w:rPr>
          <w:rFonts w:hint="eastAsia" w:hAnsi="宋体"/>
          <w:b/>
          <w:bCs/>
          <w:color w:val="000080"/>
          <w:sz w:val="24"/>
          <w:szCs w:val="24"/>
          <w:lang w:val="en-US" w:eastAsia="zh-CN"/>
        </w:rPr>
        <w:t>上课安排</w:t>
      </w:r>
      <w:bookmarkStart w:id="5" w:name="_GoBack"/>
      <w:bookmarkEnd w:id="5"/>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4"/>
        <w:gridCol w:w="2317"/>
        <w:gridCol w:w="2179"/>
        <w:gridCol w:w="1542"/>
      </w:tblGrid>
      <w:tr w14:paraId="1AAD15F3">
        <w:trPr>
          <w:jc w:val="center"/>
        </w:trPr>
        <w:tc>
          <w:tcPr>
            <w:tcW w:w="8522" w:type="dxa"/>
            <w:gridSpan w:val="4"/>
            <w:vAlign w:val="center"/>
          </w:tcPr>
          <w:p w14:paraId="2439765F">
            <w:pPr>
              <w:jc w:val="center"/>
              <w:rPr>
                <w:rFonts w:hint="default"/>
                <w:vertAlign w:val="baseline"/>
                <w:lang w:val="en-US" w:eastAsia="zh-CN"/>
              </w:rPr>
            </w:pPr>
            <w:r>
              <w:rPr>
                <w:rFonts w:hint="default"/>
                <w:vertAlign w:val="baseline"/>
                <w:lang w:val="en-US" w:eastAsia="zh-CN"/>
              </w:rPr>
              <w:t>国际贸易法:商事外交、谈判与争端解决</w:t>
            </w:r>
          </w:p>
        </w:tc>
      </w:tr>
      <w:tr w14:paraId="4593BFDA">
        <w:trPr>
          <w:jc w:val="center"/>
        </w:trPr>
        <w:tc>
          <w:tcPr>
            <w:tcW w:w="2484" w:type="dxa"/>
            <w:vAlign w:val="center"/>
          </w:tcPr>
          <w:p w14:paraId="022F89AF">
            <w:pPr>
              <w:jc w:val="center"/>
              <w:rPr>
                <w:rFonts w:hint="default"/>
                <w:vertAlign w:val="baseline"/>
                <w:lang w:val="en-US" w:eastAsia="zh-CN"/>
              </w:rPr>
            </w:pPr>
          </w:p>
        </w:tc>
        <w:tc>
          <w:tcPr>
            <w:tcW w:w="2317" w:type="dxa"/>
            <w:vAlign w:val="center"/>
          </w:tcPr>
          <w:p w14:paraId="4529DC61">
            <w:pPr>
              <w:jc w:val="center"/>
              <w:rPr>
                <w:rFonts w:hint="default"/>
                <w:vertAlign w:val="baseline"/>
                <w:lang w:val="en-US" w:eastAsia="zh-CN"/>
              </w:rPr>
            </w:pPr>
            <w:r>
              <w:rPr>
                <w:rFonts w:hint="eastAsia"/>
              </w:rPr>
              <w:t>日期</w:t>
            </w:r>
          </w:p>
        </w:tc>
        <w:tc>
          <w:tcPr>
            <w:tcW w:w="2179" w:type="dxa"/>
            <w:vAlign w:val="center"/>
          </w:tcPr>
          <w:p w14:paraId="70C4F713">
            <w:pPr>
              <w:jc w:val="center"/>
              <w:rPr>
                <w:rFonts w:hint="default"/>
                <w:vertAlign w:val="baseline"/>
                <w:lang w:val="en-US" w:eastAsia="zh-CN"/>
              </w:rPr>
            </w:pPr>
            <w:r>
              <w:rPr>
                <w:rFonts w:hint="eastAsia"/>
              </w:rPr>
              <w:t>时间</w:t>
            </w:r>
          </w:p>
        </w:tc>
        <w:tc>
          <w:tcPr>
            <w:tcW w:w="1542" w:type="dxa"/>
            <w:vAlign w:val="center"/>
          </w:tcPr>
          <w:p w14:paraId="615E7ECD">
            <w:pPr>
              <w:jc w:val="center"/>
              <w:rPr>
                <w:rFonts w:hint="default"/>
                <w:vertAlign w:val="baseline"/>
                <w:lang w:val="en-US" w:eastAsia="zh-CN"/>
              </w:rPr>
            </w:pPr>
            <w:r>
              <w:rPr>
                <w:rFonts w:hint="eastAsia"/>
                <w:vertAlign w:val="baseline"/>
                <w:lang w:val="en-US" w:eastAsia="zh-CN"/>
              </w:rPr>
              <w:t>教室</w:t>
            </w:r>
          </w:p>
        </w:tc>
      </w:tr>
      <w:tr w14:paraId="6E4323E5">
        <w:trPr>
          <w:jc w:val="center"/>
        </w:trPr>
        <w:tc>
          <w:tcPr>
            <w:tcW w:w="2484" w:type="dxa"/>
            <w:vMerge w:val="restart"/>
            <w:vAlign w:val="center"/>
          </w:tcPr>
          <w:p w14:paraId="1455EE9A">
            <w:pPr>
              <w:jc w:val="center"/>
              <w:rPr>
                <w:rFonts w:hint="default"/>
                <w:vertAlign w:val="baseline"/>
                <w:lang w:val="en-US" w:eastAsia="zh-CN"/>
              </w:rPr>
            </w:pPr>
            <w:r>
              <w:rPr>
                <w:rFonts w:hint="default"/>
                <w:vertAlign w:val="baseline"/>
                <w:lang w:val="en-US" w:eastAsia="zh-CN"/>
              </w:rPr>
              <w:t>第7周</w:t>
            </w:r>
          </w:p>
          <w:p w14:paraId="555C9F4E">
            <w:pPr>
              <w:jc w:val="center"/>
              <w:rPr>
                <w:rFonts w:hint="default"/>
                <w:vertAlign w:val="baseline"/>
                <w:lang w:val="en-US" w:eastAsia="zh-CN"/>
              </w:rPr>
            </w:pPr>
            <w:r>
              <w:rPr>
                <w:rFonts w:hint="default"/>
                <w:vertAlign w:val="baseline"/>
                <w:lang w:val="en-US" w:eastAsia="zh-CN"/>
              </w:rPr>
              <w:t>(10月19日-10月23日)</w:t>
            </w:r>
          </w:p>
        </w:tc>
        <w:tc>
          <w:tcPr>
            <w:tcW w:w="2317" w:type="dxa"/>
            <w:vAlign w:val="center"/>
          </w:tcPr>
          <w:p w14:paraId="161DC474">
            <w:pPr>
              <w:jc w:val="center"/>
              <w:rPr>
                <w:rFonts w:hint="default"/>
                <w:vertAlign w:val="baseline"/>
                <w:lang w:val="en-US" w:eastAsia="zh-CN"/>
              </w:rPr>
            </w:pPr>
            <w:r>
              <w:rPr>
                <w:rFonts w:hint="eastAsia"/>
              </w:rPr>
              <w:t>星期一(10月19日)</w:t>
            </w:r>
          </w:p>
        </w:tc>
        <w:tc>
          <w:tcPr>
            <w:tcW w:w="2179" w:type="dxa"/>
            <w:vAlign w:val="center"/>
          </w:tcPr>
          <w:p w14:paraId="399CAF4F">
            <w:pPr>
              <w:jc w:val="center"/>
              <w:rPr>
                <w:rFonts w:hint="default"/>
                <w:vertAlign w:val="baseline"/>
                <w:lang w:val="en-US" w:eastAsia="zh-CN"/>
              </w:rPr>
            </w:pPr>
            <w:r>
              <w:rPr>
                <w:rFonts w:hint="eastAsia"/>
              </w:rPr>
              <w:t>13:30-16:35</w:t>
            </w:r>
          </w:p>
        </w:tc>
        <w:tc>
          <w:tcPr>
            <w:tcW w:w="1542" w:type="dxa"/>
            <w:vAlign w:val="center"/>
          </w:tcPr>
          <w:p w14:paraId="3C78E677">
            <w:pPr>
              <w:jc w:val="center"/>
              <w:rPr>
                <w:rFonts w:hint="default"/>
                <w:vertAlign w:val="baseline"/>
                <w:lang w:val="en-US" w:eastAsia="zh-CN"/>
              </w:rPr>
            </w:pPr>
            <w:r>
              <w:rPr>
                <w:rFonts w:hint="eastAsia"/>
                <w:vertAlign w:val="baseline"/>
                <w:lang w:val="en-US" w:eastAsia="zh-CN"/>
              </w:rPr>
              <w:t>东楼</w:t>
            </w:r>
            <w:r>
              <w:rPr>
                <w:rFonts w:hint="default"/>
                <w:vertAlign w:val="baseline"/>
                <w:lang w:val="en-US" w:eastAsia="zh-CN"/>
              </w:rPr>
              <w:t>D</w:t>
            </w:r>
            <w:r>
              <w:rPr>
                <w:rFonts w:hint="eastAsia"/>
                <w:vertAlign w:val="baseline"/>
                <w:lang w:val="en-US" w:eastAsia="zh-CN"/>
              </w:rPr>
              <w:t>302</w:t>
            </w:r>
          </w:p>
        </w:tc>
      </w:tr>
      <w:tr w14:paraId="50EF4E23">
        <w:trPr>
          <w:jc w:val="center"/>
        </w:trPr>
        <w:tc>
          <w:tcPr>
            <w:tcW w:w="2484" w:type="dxa"/>
            <w:vMerge w:val="continue"/>
            <w:vAlign w:val="center"/>
          </w:tcPr>
          <w:p w14:paraId="45DCBBCB">
            <w:pPr>
              <w:jc w:val="center"/>
              <w:rPr>
                <w:rFonts w:hint="default"/>
                <w:vertAlign w:val="baseline"/>
                <w:lang w:val="en-US" w:eastAsia="zh-CN"/>
              </w:rPr>
            </w:pPr>
          </w:p>
        </w:tc>
        <w:tc>
          <w:tcPr>
            <w:tcW w:w="2317" w:type="dxa"/>
            <w:vAlign w:val="center"/>
          </w:tcPr>
          <w:p w14:paraId="1945D8AF">
            <w:pPr>
              <w:jc w:val="center"/>
              <w:rPr>
                <w:rFonts w:hint="default"/>
                <w:vertAlign w:val="baseline"/>
                <w:lang w:val="en-US" w:eastAsia="zh-CN"/>
              </w:rPr>
            </w:pPr>
            <w:r>
              <w:rPr>
                <w:rFonts w:hint="eastAsia"/>
              </w:rPr>
              <w:t>星期二(10月20日)</w:t>
            </w:r>
          </w:p>
        </w:tc>
        <w:tc>
          <w:tcPr>
            <w:tcW w:w="2179" w:type="dxa"/>
            <w:vAlign w:val="center"/>
          </w:tcPr>
          <w:p w14:paraId="623CD26F">
            <w:pPr>
              <w:jc w:val="center"/>
              <w:rPr>
                <w:rFonts w:hint="default"/>
                <w:vertAlign w:val="baseline"/>
                <w:lang w:val="en-US" w:eastAsia="zh-CN"/>
              </w:rPr>
            </w:pPr>
            <w:r>
              <w:rPr>
                <w:rFonts w:hint="eastAsia"/>
              </w:rPr>
              <w:t>13:30-16:35</w:t>
            </w:r>
          </w:p>
        </w:tc>
        <w:tc>
          <w:tcPr>
            <w:tcW w:w="1542" w:type="dxa"/>
            <w:vAlign w:val="center"/>
          </w:tcPr>
          <w:p w14:paraId="3560B9D4">
            <w:pPr>
              <w:jc w:val="center"/>
              <w:rPr>
                <w:rFonts w:hint="default"/>
                <w:vertAlign w:val="baseline"/>
                <w:lang w:val="en-US" w:eastAsia="zh-CN"/>
              </w:rPr>
            </w:pPr>
            <w:r>
              <w:rPr>
                <w:rFonts w:hint="eastAsia"/>
                <w:vertAlign w:val="baseline"/>
                <w:lang w:val="en-US" w:eastAsia="zh-CN"/>
              </w:rPr>
              <w:t>西楼</w:t>
            </w:r>
            <w:r>
              <w:rPr>
                <w:rFonts w:hint="default"/>
                <w:vertAlign w:val="baseline"/>
                <w:lang w:val="en-US" w:eastAsia="zh-CN"/>
              </w:rPr>
              <w:t>C</w:t>
            </w:r>
            <w:r>
              <w:rPr>
                <w:rFonts w:hint="eastAsia"/>
                <w:vertAlign w:val="baseline"/>
                <w:lang w:val="en-US" w:eastAsia="zh-CN"/>
              </w:rPr>
              <w:t>202</w:t>
            </w:r>
          </w:p>
        </w:tc>
      </w:tr>
      <w:tr w14:paraId="5DFFD9AE">
        <w:trPr>
          <w:jc w:val="center"/>
        </w:trPr>
        <w:tc>
          <w:tcPr>
            <w:tcW w:w="2484" w:type="dxa"/>
            <w:vMerge w:val="continue"/>
            <w:vAlign w:val="center"/>
          </w:tcPr>
          <w:p w14:paraId="4BADD91B">
            <w:pPr>
              <w:jc w:val="center"/>
              <w:rPr>
                <w:rFonts w:hint="default"/>
                <w:vertAlign w:val="baseline"/>
                <w:lang w:val="en-US" w:eastAsia="zh-CN"/>
              </w:rPr>
            </w:pPr>
          </w:p>
        </w:tc>
        <w:tc>
          <w:tcPr>
            <w:tcW w:w="2317" w:type="dxa"/>
            <w:vAlign w:val="center"/>
          </w:tcPr>
          <w:p w14:paraId="668A9BD6">
            <w:pPr>
              <w:jc w:val="center"/>
              <w:rPr>
                <w:rFonts w:hint="default"/>
                <w:vertAlign w:val="baseline"/>
                <w:lang w:val="en-US" w:eastAsia="zh-CN"/>
              </w:rPr>
            </w:pPr>
            <w:r>
              <w:rPr>
                <w:rFonts w:hint="eastAsia"/>
              </w:rPr>
              <w:t>星期三(10月21日)</w:t>
            </w:r>
          </w:p>
        </w:tc>
        <w:tc>
          <w:tcPr>
            <w:tcW w:w="2179" w:type="dxa"/>
            <w:vAlign w:val="center"/>
          </w:tcPr>
          <w:p w14:paraId="14193C84">
            <w:pPr>
              <w:jc w:val="center"/>
              <w:rPr>
                <w:rFonts w:hint="default"/>
                <w:vertAlign w:val="baseline"/>
                <w:lang w:val="en-US" w:eastAsia="zh-CN"/>
              </w:rPr>
            </w:pPr>
            <w:r>
              <w:rPr>
                <w:rFonts w:hint="eastAsia"/>
              </w:rPr>
              <w:t>13:30-16:35</w:t>
            </w:r>
          </w:p>
        </w:tc>
        <w:tc>
          <w:tcPr>
            <w:tcW w:w="1542" w:type="dxa"/>
            <w:vAlign w:val="center"/>
          </w:tcPr>
          <w:p w14:paraId="20B1399A">
            <w:pPr>
              <w:jc w:val="center"/>
              <w:rPr>
                <w:rFonts w:hint="default"/>
                <w:vertAlign w:val="baseline"/>
                <w:lang w:val="en-US" w:eastAsia="zh-CN"/>
              </w:rPr>
            </w:pPr>
            <w:r>
              <w:rPr>
                <w:rFonts w:hint="eastAsia"/>
                <w:vertAlign w:val="baseline"/>
                <w:lang w:val="en-US" w:eastAsia="zh-CN"/>
              </w:rPr>
              <w:t>东楼</w:t>
            </w:r>
            <w:r>
              <w:rPr>
                <w:rFonts w:hint="default"/>
                <w:vertAlign w:val="baseline"/>
                <w:lang w:val="en-US" w:eastAsia="zh-CN"/>
              </w:rPr>
              <w:t>B</w:t>
            </w:r>
            <w:r>
              <w:rPr>
                <w:rFonts w:hint="eastAsia"/>
                <w:vertAlign w:val="baseline"/>
                <w:lang w:val="en-US" w:eastAsia="zh-CN"/>
              </w:rPr>
              <w:t>204</w:t>
            </w:r>
          </w:p>
        </w:tc>
      </w:tr>
      <w:tr w14:paraId="6DDB4C99">
        <w:trPr>
          <w:jc w:val="center"/>
        </w:trPr>
        <w:tc>
          <w:tcPr>
            <w:tcW w:w="2484" w:type="dxa"/>
            <w:vMerge w:val="continue"/>
            <w:vAlign w:val="center"/>
          </w:tcPr>
          <w:p w14:paraId="3209BACA">
            <w:pPr>
              <w:jc w:val="center"/>
              <w:rPr>
                <w:rFonts w:hint="default"/>
                <w:vertAlign w:val="baseline"/>
                <w:lang w:val="en-US" w:eastAsia="zh-CN"/>
              </w:rPr>
            </w:pPr>
          </w:p>
        </w:tc>
        <w:tc>
          <w:tcPr>
            <w:tcW w:w="2317" w:type="dxa"/>
            <w:vAlign w:val="center"/>
          </w:tcPr>
          <w:p w14:paraId="71A1C11E">
            <w:pPr>
              <w:jc w:val="center"/>
              <w:rPr>
                <w:rFonts w:hint="default"/>
                <w:vertAlign w:val="baseline"/>
                <w:lang w:val="en-US" w:eastAsia="zh-CN"/>
              </w:rPr>
            </w:pPr>
            <w:r>
              <w:rPr>
                <w:rFonts w:hint="eastAsia"/>
              </w:rPr>
              <w:t>星期四(10月22日)</w:t>
            </w:r>
          </w:p>
        </w:tc>
        <w:tc>
          <w:tcPr>
            <w:tcW w:w="2179" w:type="dxa"/>
            <w:vAlign w:val="center"/>
          </w:tcPr>
          <w:p w14:paraId="64712BEC">
            <w:pPr>
              <w:jc w:val="center"/>
              <w:rPr>
                <w:rFonts w:hint="default"/>
                <w:vertAlign w:val="baseline"/>
                <w:lang w:val="en-US" w:eastAsia="zh-CN"/>
              </w:rPr>
            </w:pPr>
            <w:r>
              <w:rPr>
                <w:rFonts w:hint="eastAsia"/>
              </w:rPr>
              <w:t>13:30-16:35</w:t>
            </w:r>
          </w:p>
        </w:tc>
        <w:tc>
          <w:tcPr>
            <w:tcW w:w="1542" w:type="dxa"/>
            <w:vAlign w:val="center"/>
          </w:tcPr>
          <w:p w14:paraId="0010DD05">
            <w:pPr>
              <w:jc w:val="center"/>
              <w:rPr>
                <w:rFonts w:hint="default"/>
                <w:vertAlign w:val="baseline"/>
                <w:lang w:val="en-US" w:eastAsia="zh-CN"/>
              </w:rPr>
            </w:pPr>
            <w:r>
              <w:rPr>
                <w:rFonts w:hint="eastAsia"/>
                <w:vertAlign w:val="baseline"/>
                <w:lang w:val="en-US" w:eastAsia="zh-CN"/>
              </w:rPr>
              <w:t>西楼</w:t>
            </w:r>
            <w:r>
              <w:rPr>
                <w:rFonts w:hint="default"/>
                <w:vertAlign w:val="baseline"/>
                <w:lang w:val="en-US" w:eastAsia="zh-CN"/>
              </w:rPr>
              <w:t>C</w:t>
            </w:r>
            <w:r>
              <w:rPr>
                <w:rFonts w:hint="eastAsia"/>
                <w:vertAlign w:val="baseline"/>
                <w:lang w:val="en-US" w:eastAsia="zh-CN"/>
              </w:rPr>
              <w:t>402</w:t>
            </w:r>
          </w:p>
        </w:tc>
      </w:tr>
      <w:tr w14:paraId="499BE282">
        <w:trPr>
          <w:jc w:val="center"/>
        </w:trPr>
        <w:tc>
          <w:tcPr>
            <w:tcW w:w="2484" w:type="dxa"/>
            <w:vMerge w:val="continue"/>
            <w:vAlign w:val="center"/>
          </w:tcPr>
          <w:p w14:paraId="6553B3F3">
            <w:pPr>
              <w:jc w:val="center"/>
              <w:rPr>
                <w:rFonts w:hint="default"/>
                <w:vertAlign w:val="baseline"/>
                <w:lang w:val="en-US" w:eastAsia="zh-CN"/>
              </w:rPr>
            </w:pPr>
          </w:p>
        </w:tc>
        <w:tc>
          <w:tcPr>
            <w:tcW w:w="2317" w:type="dxa"/>
            <w:vAlign w:val="center"/>
          </w:tcPr>
          <w:p w14:paraId="20A6B84D">
            <w:pPr>
              <w:jc w:val="center"/>
              <w:rPr>
                <w:rFonts w:hint="default"/>
                <w:vertAlign w:val="baseline"/>
                <w:lang w:val="en-US" w:eastAsia="zh-CN"/>
              </w:rPr>
            </w:pPr>
            <w:r>
              <w:rPr>
                <w:rFonts w:hint="eastAsia"/>
              </w:rPr>
              <w:t>星期五(10月23日)</w:t>
            </w:r>
          </w:p>
        </w:tc>
        <w:tc>
          <w:tcPr>
            <w:tcW w:w="2179" w:type="dxa"/>
            <w:vAlign w:val="center"/>
          </w:tcPr>
          <w:p w14:paraId="3AF9F75D">
            <w:pPr>
              <w:jc w:val="center"/>
              <w:rPr>
                <w:rFonts w:hint="default"/>
                <w:vertAlign w:val="baseline"/>
                <w:lang w:val="en-US" w:eastAsia="zh-CN"/>
              </w:rPr>
            </w:pPr>
            <w:r>
              <w:rPr>
                <w:rFonts w:hint="eastAsia"/>
              </w:rPr>
              <w:t>13:30-16:35</w:t>
            </w:r>
          </w:p>
        </w:tc>
        <w:tc>
          <w:tcPr>
            <w:tcW w:w="1542" w:type="dxa"/>
            <w:vMerge w:val="restart"/>
            <w:vAlign w:val="center"/>
          </w:tcPr>
          <w:p w14:paraId="1D31ECDB">
            <w:pPr>
              <w:jc w:val="center"/>
              <w:rPr>
                <w:rFonts w:hint="default"/>
                <w:vertAlign w:val="baseline"/>
                <w:lang w:val="en-US" w:eastAsia="zh-CN"/>
              </w:rPr>
            </w:pPr>
            <w:r>
              <w:rPr>
                <w:rFonts w:hint="eastAsia"/>
                <w:vertAlign w:val="baseline"/>
                <w:lang w:val="en-US" w:eastAsia="zh-CN"/>
              </w:rPr>
              <w:t>东楼</w:t>
            </w:r>
            <w:r>
              <w:rPr>
                <w:rFonts w:hint="default"/>
                <w:vertAlign w:val="baseline"/>
                <w:lang w:val="en-US" w:eastAsia="zh-CN"/>
              </w:rPr>
              <w:t>B</w:t>
            </w:r>
            <w:r>
              <w:rPr>
                <w:rFonts w:hint="eastAsia"/>
                <w:vertAlign w:val="baseline"/>
                <w:lang w:val="en-US" w:eastAsia="zh-CN"/>
              </w:rPr>
              <w:t>301</w:t>
            </w:r>
          </w:p>
        </w:tc>
      </w:tr>
      <w:tr w14:paraId="7B6874F2">
        <w:trPr>
          <w:jc w:val="center"/>
        </w:trPr>
        <w:tc>
          <w:tcPr>
            <w:tcW w:w="2484" w:type="dxa"/>
            <w:vMerge w:val="restart"/>
            <w:vAlign w:val="center"/>
          </w:tcPr>
          <w:p w14:paraId="25B594A4">
            <w:pPr>
              <w:jc w:val="center"/>
              <w:rPr>
                <w:rFonts w:hint="default"/>
                <w:vertAlign w:val="baseline"/>
                <w:lang w:val="en-US" w:eastAsia="zh-CN"/>
              </w:rPr>
            </w:pPr>
            <w:r>
              <w:rPr>
                <w:rFonts w:hint="default"/>
                <w:vertAlign w:val="baseline"/>
                <w:lang w:val="en-US" w:eastAsia="zh-CN"/>
              </w:rPr>
              <w:t>第8周</w:t>
            </w:r>
          </w:p>
          <w:p w14:paraId="7BD6110F">
            <w:pPr>
              <w:jc w:val="center"/>
              <w:rPr>
                <w:rFonts w:hint="default"/>
                <w:vertAlign w:val="baseline"/>
                <w:lang w:val="en-US" w:eastAsia="zh-CN"/>
              </w:rPr>
            </w:pPr>
            <w:r>
              <w:rPr>
                <w:rFonts w:hint="default"/>
                <w:vertAlign w:val="baseline"/>
                <w:lang w:val="en-US" w:eastAsia="zh-CN"/>
              </w:rPr>
              <w:t>(10月28日-10月30日)</w:t>
            </w:r>
          </w:p>
        </w:tc>
        <w:tc>
          <w:tcPr>
            <w:tcW w:w="2317" w:type="dxa"/>
            <w:vAlign w:val="center"/>
          </w:tcPr>
          <w:p w14:paraId="460584A4">
            <w:pPr>
              <w:jc w:val="center"/>
              <w:rPr>
                <w:rFonts w:hint="default"/>
                <w:vertAlign w:val="baseline"/>
                <w:lang w:val="en-US" w:eastAsia="zh-CN"/>
              </w:rPr>
            </w:pPr>
            <w:r>
              <w:rPr>
                <w:rFonts w:hint="eastAsia"/>
              </w:rPr>
              <w:t>星期三(10月28日)</w:t>
            </w:r>
          </w:p>
        </w:tc>
        <w:tc>
          <w:tcPr>
            <w:tcW w:w="2179" w:type="dxa"/>
            <w:vAlign w:val="center"/>
          </w:tcPr>
          <w:p w14:paraId="0E196E4D">
            <w:pPr>
              <w:jc w:val="center"/>
              <w:rPr>
                <w:rFonts w:hint="default"/>
                <w:vertAlign w:val="baseline"/>
                <w:lang w:val="en-US" w:eastAsia="zh-CN"/>
              </w:rPr>
            </w:pPr>
            <w:r>
              <w:rPr>
                <w:rFonts w:hint="eastAsia"/>
              </w:rPr>
              <w:t>13:30-16:35</w:t>
            </w:r>
          </w:p>
        </w:tc>
        <w:tc>
          <w:tcPr>
            <w:tcW w:w="1542" w:type="dxa"/>
            <w:vMerge w:val="continue"/>
            <w:tcBorders/>
            <w:vAlign w:val="center"/>
          </w:tcPr>
          <w:p w14:paraId="20523367">
            <w:pPr>
              <w:jc w:val="center"/>
              <w:rPr>
                <w:rFonts w:hint="default"/>
                <w:vertAlign w:val="baseline"/>
                <w:lang w:val="en-US" w:eastAsia="zh-CN"/>
              </w:rPr>
            </w:pPr>
          </w:p>
        </w:tc>
      </w:tr>
      <w:tr w14:paraId="643AD927">
        <w:trPr>
          <w:jc w:val="center"/>
        </w:trPr>
        <w:tc>
          <w:tcPr>
            <w:tcW w:w="2484" w:type="dxa"/>
            <w:vMerge w:val="continue"/>
            <w:vAlign w:val="center"/>
          </w:tcPr>
          <w:p w14:paraId="3A9BA49E">
            <w:pPr>
              <w:jc w:val="center"/>
              <w:rPr>
                <w:rFonts w:hint="default"/>
                <w:vertAlign w:val="baseline"/>
                <w:lang w:val="en-US" w:eastAsia="zh-CN"/>
              </w:rPr>
            </w:pPr>
          </w:p>
        </w:tc>
        <w:tc>
          <w:tcPr>
            <w:tcW w:w="2317" w:type="dxa"/>
            <w:vAlign w:val="center"/>
          </w:tcPr>
          <w:p w14:paraId="4116C9FC">
            <w:pPr>
              <w:jc w:val="center"/>
              <w:rPr>
                <w:rFonts w:hint="default"/>
                <w:vertAlign w:val="baseline"/>
                <w:lang w:val="en-US" w:eastAsia="zh-CN"/>
              </w:rPr>
            </w:pPr>
            <w:r>
              <w:rPr>
                <w:rFonts w:hint="eastAsia"/>
              </w:rPr>
              <w:t>星期四(10月29日)</w:t>
            </w:r>
          </w:p>
        </w:tc>
        <w:tc>
          <w:tcPr>
            <w:tcW w:w="2179" w:type="dxa"/>
            <w:vAlign w:val="center"/>
          </w:tcPr>
          <w:p w14:paraId="5D606349">
            <w:pPr>
              <w:jc w:val="center"/>
              <w:rPr>
                <w:rFonts w:hint="default"/>
                <w:vertAlign w:val="baseline"/>
                <w:lang w:val="en-US" w:eastAsia="zh-CN"/>
              </w:rPr>
            </w:pPr>
            <w:r>
              <w:rPr>
                <w:rFonts w:hint="eastAsia"/>
              </w:rPr>
              <w:t>13:30-16:35</w:t>
            </w:r>
          </w:p>
        </w:tc>
        <w:tc>
          <w:tcPr>
            <w:tcW w:w="1542" w:type="dxa"/>
            <w:vMerge w:val="continue"/>
            <w:tcBorders/>
            <w:vAlign w:val="center"/>
          </w:tcPr>
          <w:p w14:paraId="47A896B6">
            <w:pPr>
              <w:jc w:val="center"/>
              <w:rPr>
                <w:rFonts w:hint="default"/>
                <w:vertAlign w:val="baseline"/>
                <w:lang w:val="en-US" w:eastAsia="zh-CN"/>
              </w:rPr>
            </w:pPr>
          </w:p>
        </w:tc>
      </w:tr>
      <w:tr w14:paraId="4D5AD35D">
        <w:trPr>
          <w:jc w:val="center"/>
        </w:trPr>
        <w:tc>
          <w:tcPr>
            <w:tcW w:w="2484" w:type="dxa"/>
            <w:vMerge w:val="continue"/>
            <w:vAlign w:val="center"/>
          </w:tcPr>
          <w:p w14:paraId="222AAE39">
            <w:pPr>
              <w:jc w:val="center"/>
              <w:rPr>
                <w:rFonts w:hint="default"/>
                <w:vertAlign w:val="baseline"/>
                <w:lang w:val="en-US" w:eastAsia="zh-CN"/>
              </w:rPr>
            </w:pPr>
          </w:p>
        </w:tc>
        <w:tc>
          <w:tcPr>
            <w:tcW w:w="2317" w:type="dxa"/>
            <w:vAlign w:val="center"/>
          </w:tcPr>
          <w:p w14:paraId="7B1BE890">
            <w:pPr>
              <w:jc w:val="center"/>
              <w:rPr>
                <w:rFonts w:hint="default"/>
                <w:vertAlign w:val="baseline"/>
                <w:lang w:val="en-US" w:eastAsia="zh-CN"/>
              </w:rPr>
            </w:pPr>
            <w:r>
              <w:rPr>
                <w:rFonts w:hint="eastAsia"/>
              </w:rPr>
              <w:t>星期五(10月30日)</w:t>
            </w:r>
          </w:p>
        </w:tc>
        <w:tc>
          <w:tcPr>
            <w:tcW w:w="2179" w:type="dxa"/>
            <w:vAlign w:val="center"/>
          </w:tcPr>
          <w:p w14:paraId="17E9E60C">
            <w:pPr>
              <w:jc w:val="center"/>
              <w:rPr>
                <w:rFonts w:hint="default"/>
                <w:vertAlign w:val="baseline"/>
                <w:lang w:val="en-US" w:eastAsia="zh-CN"/>
              </w:rPr>
            </w:pPr>
            <w:r>
              <w:rPr>
                <w:rFonts w:hint="eastAsia"/>
              </w:rPr>
              <w:t>13:30-16:35</w:t>
            </w:r>
          </w:p>
        </w:tc>
        <w:tc>
          <w:tcPr>
            <w:tcW w:w="1542" w:type="dxa"/>
            <w:vMerge w:val="continue"/>
            <w:tcBorders/>
            <w:vAlign w:val="center"/>
          </w:tcPr>
          <w:p w14:paraId="7DEEEB54">
            <w:pPr>
              <w:jc w:val="center"/>
              <w:rPr>
                <w:rFonts w:hint="default"/>
                <w:vertAlign w:val="baseline"/>
                <w:lang w:val="en-US" w:eastAsia="zh-CN"/>
              </w:rPr>
            </w:pPr>
          </w:p>
        </w:tc>
      </w:tr>
    </w:tbl>
    <w:p w14:paraId="75CA73AB">
      <w:pPr>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9E0C0">
    <w:pPr>
      <w:pStyle w:val="2"/>
      <w:jc w:val="right"/>
    </w:pPr>
    <w:r>
      <w:fldChar w:fldCharType="begin"/>
    </w:r>
    <w:r>
      <w:instrText xml:space="preserve"> PAGE   \* MERGEFORMAT </w:instrText>
    </w:r>
    <w:r>
      <w:fldChar w:fldCharType="separate"/>
    </w:r>
    <w:r>
      <w:rPr>
        <w:lang w:val="zh-CN"/>
      </w:rPr>
      <w:t>1</w:t>
    </w:r>
    <w:r>
      <w:fldChar w:fldCharType="end"/>
    </w:r>
  </w:p>
  <w:p w14:paraId="6589BDA8">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81E07"/>
    <w:rsid w:val="000949D6"/>
    <w:rsid w:val="000F2237"/>
    <w:rsid w:val="002216BD"/>
    <w:rsid w:val="004F1366"/>
    <w:rsid w:val="0055066D"/>
    <w:rsid w:val="00591674"/>
    <w:rsid w:val="006B0677"/>
    <w:rsid w:val="009A7E71"/>
    <w:rsid w:val="009F12BE"/>
    <w:rsid w:val="02D91DBA"/>
    <w:rsid w:val="38CB04E0"/>
    <w:rsid w:val="45860D69"/>
    <w:rsid w:val="50B81E07"/>
    <w:rsid w:val="60E11939"/>
    <w:rsid w:val="69E3037E"/>
    <w:rsid w:val="77B00C1E"/>
    <w:rsid w:val="F5574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1258</Words>
  <Characters>3423</Characters>
  <Lines>29</Lines>
  <Paragraphs>8</Paragraphs>
  <TotalTime>6</TotalTime>
  <ScaleCrop>false</ScaleCrop>
  <LinksUpToDate>false</LinksUpToDate>
  <CharactersWithSpaces>3852</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2020-12-29T16:40:00Z</dcterms:created>
  <dc:creator>田华</dc:creator>
  <cp:lastModifiedBy>木鱼</cp:lastModifiedBy>
  <dcterms:modified xsi:type="dcterms:W3CDTF">2026-08-31T11:35:39Z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ICV">
    <vt:lpwstr>24EC091C0F62B0E58BF6946A2B8775BF_43</vt:lpwstr>
  </property>
  <property fmtid="{D5CDD505-2E9C-101B-9397-08002B2CF9AE}" pid="4" name="KSOTemplateDocerSaveRecord">
    <vt:lpwstr>eyJoZGlkIjoiNDAwN2QzM2Q5OTE3OGQ4MWRmNTQ2OTBiY2ExNDcxNDAiLCJ1c2VySWQiOiI2Mjc4OTkxNjYifQ==</vt:lpwstr>
  </property>
</Properties>
</file>