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978B7">
      <w:pPr>
        <w:jc w:val="center"/>
        <w:rPr>
          <w:rFonts w:hAnsi="宋体"/>
          <w:b/>
          <w:bCs/>
          <w:sz w:val="32"/>
          <w:szCs w:val="32"/>
        </w:rPr>
      </w:pPr>
      <w:r>
        <w:rPr>
          <w:rFonts w:hAnsi="宋体"/>
          <w:b/>
          <w:bCs/>
          <w:sz w:val="32"/>
          <w:szCs w:val="32"/>
        </w:rPr>
        <w:t>近代以来中日刑事法制比较</w:t>
      </w:r>
    </w:p>
    <w:p w14:paraId="54F879DF">
      <w:pPr>
        <w:spacing w:before="100" w:beforeAutospacing="1" w:after="100" w:afterAutospacing="1"/>
        <w:jc w:val="center"/>
        <w:rPr>
          <w:rFonts w:hAnsi="宋体"/>
          <w:b/>
          <w:bCs/>
          <w:sz w:val="22"/>
        </w:rPr>
      </w:pPr>
      <w:r>
        <w:rPr>
          <w:rFonts w:hAnsi="宋体"/>
          <w:b/>
          <w:bCs/>
          <w:sz w:val="22"/>
        </w:rPr>
        <w:t>A Comparative Study of Modern Chinese and Japanese Criminal Legal Systems</w:t>
      </w:r>
    </w:p>
    <w:p w14:paraId="6C4B7B76">
      <w:pPr>
        <w:spacing w:before="100" w:beforeAutospacing="1" w:after="100" w:afterAutospacing="1"/>
        <w:rPr>
          <w:rFonts w:hint="eastAsia" w:hAnsi="宋体"/>
          <w:b/>
          <w:bCs/>
          <w:color w:val="000080"/>
          <w:sz w:val="24"/>
          <w:szCs w:val="24"/>
        </w:rPr>
      </w:pPr>
      <w:r>
        <w:rPr>
          <w:rFonts w:hint="eastAsia" w:hAnsi="宋体"/>
          <w:b/>
          <w:bCs/>
          <w:color w:val="000080"/>
          <w:sz w:val="24"/>
          <w:szCs w:val="24"/>
        </w:rPr>
        <w:t>课程主讲人简介</w:t>
      </w:r>
      <w:bookmarkStart w:id="4" w:name="_GoBack"/>
      <w:bookmarkEnd w:id="4"/>
    </w:p>
    <w:p w14:paraId="2431AEF9">
      <w:pPr>
        <w:spacing w:after="160" w:line="276" w:lineRule="auto"/>
        <w:ind w:firstLine="360" w:firstLineChars="200"/>
        <w:rPr>
          <w:rFonts w:hint="eastAsia" w:hAnsi="宋体"/>
          <w:color w:val="FF0000"/>
          <w:sz w:val="18"/>
          <w:szCs w:val="18"/>
        </w:rPr>
      </w:pPr>
      <w:r>
        <w:rPr>
          <w:rFonts w:hAnsi="宋体"/>
          <w:color w:val="000000"/>
          <w:sz w:val="18"/>
          <w:szCs w:val="18"/>
        </w:rPr>
        <w:t>久保茉莉子（KUBO MARIKO），日本埼玉大学大学院人文社会科学研究科准教授，东京大学博士。主要研究领域为中国近</w:t>
      </w:r>
      <w:r>
        <w:rPr>
          <w:rFonts w:hint="eastAsia" w:hAnsi="宋体"/>
          <w:color w:val="000000"/>
          <w:sz w:val="18"/>
          <w:szCs w:val="18"/>
        </w:rPr>
        <w:t>现</w:t>
      </w:r>
      <w:r>
        <w:rPr>
          <w:rFonts w:hAnsi="宋体"/>
          <w:color w:val="000000"/>
          <w:sz w:val="18"/>
          <w:szCs w:val="18"/>
        </w:rPr>
        <w:t>代法制史。久保教授是日本</w:t>
      </w:r>
      <w:r>
        <w:rPr>
          <w:rFonts w:hint="eastAsia" w:hAnsi="宋体"/>
          <w:color w:val="000000"/>
          <w:sz w:val="18"/>
          <w:szCs w:val="18"/>
        </w:rPr>
        <w:t>法律史学界年轻一代的领军学者</w:t>
      </w:r>
      <w:r>
        <w:rPr>
          <w:rFonts w:hAnsi="宋体"/>
          <w:color w:val="000000"/>
          <w:sz w:val="18"/>
          <w:szCs w:val="18"/>
        </w:rPr>
        <w:t>，学术成果丰硕，在《法制史研究》、《史学杂志》、《</w:t>
      </w:r>
      <w:r>
        <w:rPr>
          <w:rFonts w:hint="eastAsia" w:hAnsi="宋体"/>
          <w:color w:val="000000"/>
          <w:sz w:val="18"/>
          <w:szCs w:val="18"/>
        </w:rPr>
        <w:t>历史学</w:t>
      </w:r>
      <w:r>
        <w:rPr>
          <w:rFonts w:hAnsi="宋体"/>
          <w:color w:val="000000"/>
          <w:sz w:val="18"/>
          <w:szCs w:val="18"/>
        </w:rPr>
        <w:t>研究》等日本权威期刊发表论文多篇。</w:t>
      </w:r>
      <w:r>
        <w:rPr>
          <w:rFonts w:hAnsi="宋体"/>
          <w:color w:val="000000"/>
          <w:sz w:val="18"/>
          <w:szCs w:val="18"/>
          <w:lang w:eastAsia="ja-JP"/>
        </w:rPr>
        <w:t>其专著《中国の近代的刑事裁判―刑事司法改革からみる中国近代法史》（东京大学出版会，2020年）是该领域的代表性作品。</w:t>
      </w:r>
      <w:r>
        <w:rPr>
          <w:rFonts w:hAnsi="宋体"/>
          <w:color w:val="000000"/>
          <w:sz w:val="18"/>
          <w:szCs w:val="18"/>
        </w:rPr>
        <w:t>其研究在国际中国法制史学界具有广泛影响。</w:t>
      </w:r>
    </w:p>
    <w:p w14:paraId="75597EE2">
      <w:pPr>
        <w:spacing w:before="100" w:beforeAutospacing="1" w:after="100" w:afterAutospacing="1"/>
        <w:rPr>
          <w:rFonts w:hint="eastAsia" w:hAnsi="宋体"/>
          <w:b/>
          <w:bCs/>
          <w:color w:val="000080"/>
          <w:sz w:val="24"/>
          <w:szCs w:val="24"/>
        </w:rPr>
      </w:pPr>
      <w:bookmarkStart w:id="0" w:name="OLE_LINK4"/>
      <w:bookmarkStart w:id="1" w:name="OLE_LINK5"/>
      <w:bookmarkStart w:id="2" w:name="OLE_LINK2"/>
      <w:bookmarkStart w:id="3" w:name="OLE_LINK1"/>
      <w:r>
        <w:rPr>
          <w:rFonts w:hAnsi="宋体"/>
          <w:b/>
          <w:bCs/>
          <w:color w:val="000080"/>
          <w:sz w:val="24"/>
          <w:szCs w:val="24"/>
        </w:rPr>
        <w:t>Profile</w:t>
      </w:r>
      <w:bookmarkEnd w:id="0"/>
      <w:bookmarkEnd w:id="1"/>
    </w:p>
    <w:bookmarkEnd w:id="2"/>
    <w:bookmarkEnd w:id="3"/>
    <w:p w14:paraId="75F93C8E">
      <w:pPr>
        <w:spacing w:after="160" w:line="276" w:lineRule="auto"/>
        <w:ind w:firstLine="360" w:firstLineChars="200"/>
        <w:rPr>
          <w:color w:val="000000"/>
          <w:sz w:val="18"/>
          <w:szCs w:val="18"/>
        </w:rPr>
      </w:pPr>
      <w:r>
        <w:rPr>
          <w:color w:val="000000"/>
          <w:sz w:val="18"/>
          <w:szCs w:val="18"/>
        </w:rPr>
        <w:t>KUBO Mariko is an Associate Professor at the Graduate School of Humanities and Social Sciences, Saitama University, Japan. She received her Ph.D. from the University of Tokyo. Her main research field is the modern history of Chinese law. Dr. Kubo is an outstanding young scholar in this field in Japan, with numerous publications in leading Japanese journals such as Legal History Review (Hōseishi Kenkyū), The Historical Journal of Japan (Shigaku Zasshi). Her monograph, Modern Criminal Trials in China: Modern Chinese Legal History from the Perspective of Criminal Justice Reform (University of Tokyo Press, 2020), is a representative work in the field. Her research holds significant influence in the international academic community of modern Chinese legal history.</w:t>
      </w:r>
    </w:p>
    <w:tbl>
      <w:tblPr>
        <w:tblStyle w:val="3"/>
        <w:tblpPr w:leftFromText="180" w:rightFromText="180" w:vertAnchor="text" w:horzAnchor="margin" w:tblpX="74" w:tblpY="7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4678"/>
      </w:tblGrid>
      <w:tr w14:paraId="1FE8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6D72DFE2">
            <w:pPr>
              <w:spacing w:after="160"/>
              <w:rPr>
                <w:b/>
                <w:bCs/>
                <w:color w:val="1F497D"/>
                <w:sz w:val="15"/>
                <w:szCs w:val="15"/>
              </w:rPr>
            </w:pPr>
            <w:r>
              <w:rPr>
                <w:rFonts w:hAnsi="宋体"/>
                <w:b/>
                <w:bCs/>
                <w:color w:val="1F497D"/>
                <w:sz w:val="15"/>
                <w:szCs w:val="15"/>
              </w:rPr>
              <w:t>院系</w:t>
            </w:r>
            <w:r>
              <w:rPr>
                <w:b/>
                <w:bCs/>
                <w:color w:val="1F497D"/>
                <w:sz w:val="15"/>
                <w:szCs w:val="15"/>
              </w:rPr>
              <w:t xml:space="preserve"> </w:t>
            </w:r>
            <w:r>
              <w:rPr>
                <w:rFonts w:hint="eastAsia"/>
                <w:b/>
                <w:bCs/>
                <w:color w:val="1F497D"/>
                <w:sz w:val="15"/>
                <w:szCs w:val="15"/>
              </w:rPr>
              <w:t xml:space="preserve"> </w:t>
            </w:r>
            <w:r>
              <w:rPr>
                <w:b/>
                <w:bCs/>
                <w:color w:val="1F497D"/>
                <w:sz w:val="15"/>
                <w:szCs w:val="15"/>
              </w:rPr>
              <w:t>School</w:t>
            </w:r>
          </w:p>
        </w:tc>
        <w:tc>
          <w:tcPr>
            <w:tcW w:w="4678" w:type="dxa"/>
            <w:vAlign w:val="center"/>
          </w:tcPr>
          <w:p w14:paraId="4983410A">
            <w:pPr>
              <w:spacing w:after="160"/>
              <w:rPr>
                <w:color w:val="000000"/>
                <w:sz w:val="15"/>
                <w:szCs w:val="15"/>
              </w:rPr>
            </w:pPr>
            <w:r>
              <w:rPr>
                <w:rFonts w:hAnsi="宋体"/>
                <w:color w:val="000000"/>
                <w:sz w:val="15"/>
                <w:szCs w:val="15"/>
              </w:rPr>
              <w:t>法律学院 (School</w:t>
            </w:r>
            <w:r>
              <w:rPr>
                <w:rFonts w:hint="eastAsia" w:hAnsi="宋体"/>
                <w:color w:val="000000"/>
                <w:sz w:val="15"/>
                <w:szCs w:val="15"/>
              </w:rPr>
              <w:t xml:space="preserve"> of Law</w:t>
            </w:r>
            <w:r>
              <w:rPr>
                <w:rFonts w:hAnsi="宋体"/>
                <w:color w:val="000000"/>
                <w:sz w:val="15"/>
                <w:szCs w:val="15"/>
              </w:rPr>
              <w:t>)</w:t>
            </w:r>
          </w:p>
        </w:tc>
      </w:tr>
      <w:tr w14:paraId="65B7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2570D195">
            <w:pPr>
              <w:spacing w:after="160"/>
              <w:rPr>
                <w:b/>
                <w:bCs/>
                <w:color w:val="1F497D"/>
                <w:sz w:val="15"/>
                <w:szCs w:val="15"/>
              </w:rPr>
            </w:pPr>
            <w:r>
              <w:rPr>
                <w:rFonts w:hAnsi="宋体"/>
                <w:b/>
                <w:bCs/>
                <w:color w:val="1F497D"/>
                <w:sz w:val="15"/>
                <w:szCs w:val="15"/>
              </w:rPr>
              <w:t>学科门类</w:t>
            </w:r>
            <w:r>
              <w:rPr>
                <w:b/>
                <w:bCs/>
                <w:color w:val="1F497D"/>
                <w:sz w:val="15"/>
                <w:szCs w:val="15"/>
              </w:rPr>
              <w:t xml:space="preserve"> Fields of Study</w:t>
            </w:r>
          </w:p>
        </w:tc>
        <w:tc>
          <w:tcPr>
            <w:tcW w:w="4678" w:type="dxa"/>
            <w:vAlign w:val="center"/>
          </w:tcPr>
          <w:p w14:paraId="4987CB00">
            <w:pPr>
              <w:spacing w:after="160"/>
              <w:rPr>
                <w:color w:val="000000"/>
                <w:sz w:val="15"/>
                <w:szCs w:val="15"/>
              </w:rPr>
            </w:pPr>
            <w:r>
              <w:rPr>
                <w:rFonts w:hAnsi="宋体"/>
                <w:color w:val="000000"/>
                <w:sz w:val="15"/>
                <w:szCs w:val="15"/>
              </w:rPr>
              <w:t>法学 (Law)</w:t>
            </w:r>
          </w:p>
        </w:tc>
      </w:tr>
      <w:tr w14:paraId="71AC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0AC11E1A">
            <w:pPr>
              <w:spacing w:after="160"/>
              <w:rPr>
                <w:b/>
                <w:bCs/>
                <w:color w:val="1F497D"/>
                <w:sz w:val="15"/>
                <w:szCs w:val="15"/>
              </w:rPr>
            </w:pPr>
            <w:r>
              <w:rPr>
                <w:rFonts w:hAnsi="宋体"/>
                <w:b/>
                <w:bCs/>
                <w:color w:val="1F497D"/>
                <w:sz w:val="15"/>
                <w:szCs w:val="15"/>
              </w:rPr>
              <w:t>所属一级学科名称</w:t>
            </w:r>
            <w:r>
              <w:rPr>
                <w:b/>
                <w:bCs/>
                <w:color w:val="1F497D"/>
                <w:sz w:val="15"/>
                <w:szCs w:val="15"/>
              </w:rPr>
              <w:t xml:space="preserve"> Disciplines</w:t>
            </w:r>
          </w:p>
        </w:tc>
        <w:tc>
          <w:tcPr>
            <w:tcW w:w="4678" w:type="dxa"/>
            <w:vAlign w:val="center"/>
          </w:tcPr>
          <w:p w14:paraId="185C79E5">
            <w:pPr>
              <w:spacing w:after="160"/>
              <w:rPr>
                <w:color w:val="000000"/>
                <w:sz w:val="15"/>
                <w:szCs w:val="15"/>
              </w:rPr>
            </w:pPr>
            <w:r>
              <w:rPr>
                <w:rFonts w:hAnsi="宋体"/>
                <w:color w:val="000000"/>
                <w:sz w:val="15"/>
                <w:szCs w:val="15"/>
              </w:rPr>
              <w:t>法学 (Law)</w:t>
            </w:r>
          </w:p>
        </w:tc>
      </w:tr>
      <w:tr w14:paraId="663C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45ADC19E">
            <w:pPr>
              <w:spacing w:after="160"/>
              <w:rPr>
                <w:b/>
                <w:bCs/>
                <w:color w:val="1F497D"/>
                <w:sz w:val="15"/>
                <w:szCs w:val="15"/>
              </w:rPr>
            </w:pPr>
            <w:r>
              <w:rPr>
                <w:rFonts w:hAnsi="宋体"/>
                <w:b/>
                <w:bCs/>
                <w:color w:val="1F497D"/>
                <w:sz w:val="15"/>
                <w:szCs w:val="15"/>
              </w:rPr>
              <w:t>所属二级学科名称</w:t>
            </w:r>
            <w:r>
              <w:rPr>
                <w:b/>
                <w:bCs/>
                <w:color w:val="1F497D"/>
                <w:sz w:val="15"/>
                <w:szCs w:val="15"/>
              </w:rPr>
              <w:t xml:space="preserve"> Sub-Disciplines</w:t>
            </w:r>
          </w:p>
        </w:tc>
        <w:tc>
          <w:tcPr>
            <w:tcW w:w="4678" w:type="dxa"/>
            <w:vAlign w:val="center"/>
          </w:tcPr>
          <w:p w14:paraId="151CF62D">
            <w:pPr>
              <w:spacing w:after="160"/>
              <w:rPr>
                <w:color w:val="000000"/>
                <w:sz w:val="15"/>
                <w:szCs w:val="15"/>
              </w:rPr>
            </w:pPr>
            <w:r>
              <w:rPr>
                <w:rFonts w:hAnsi="宋体"/>
                <w:color w:val="000000"/>
                <w:sz w:val="15"/>
                <w:szCs w:val="15"/>
              </w:rPr>
              <w:t>法制史 (Legal History)</w:t>
            </w:r>
          </w:p>
        </w:tc>
      </w:tr>
      <w:tr w14:paraId="4054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6061776B">
            <w:pPr>
              <w:spacing w:after="160"/>
              <w:rPr>
                <w:rFonts w:hint="eastAsia" w:hAnsi="宋体"/>
                <w:b/>
                <w:bCs/>
                <w:color w:val="1F497D"/>
                <w:sz w:val="15"/>
                <w:szCs w:val="15"/>
              </w:rPr>
            </w:pPr>
            <w:r>
              <w:rPr>
                <w:rFonts w:hint="eastAsia" w:hAnsi="宋体"/>
                <w:b/>
                <w:bCs/>
                <w:color w:val="1F497D"/>
                <w:sz w:val="15"/>
                <w:szCs w:val="15"/>
              </w:rPr>
              <w:t>先修课程</w:t>
            </w:r>
            <w:r>
              <w:rPr>
                <w:b/>
                <w:bCs/>
                <w:color w:val="1F497D"/>
                <w:sz w:val="15"/>
                <w:szCs w:val="15"/>
              </w:rPr>
              <w:t xml:space="preserve"> Prerequisites</w:t>
            </w:r>
          </w:p>
        </w:tc>
        <w:tc>
          <w:tcPr>
            <w:tcW w:w="4678" w:type="dxa"/>
            <w:vAlign w:val="center"/>
          </w:tcPr>
          <w:p w14:paraId="6693CA58">
            <w:pPr>
              <w:spacing w:after="160"/>
              <w:rPr>
                <w:rFonts w:hint="eastAsia" w:hAnsi="宋体"/>
                <w:color w:val="000000"/>
                <w:sz w:val="15"/>
                <w:szCs w:val="15"/>
              </w:rPr>
            </w:pPr>
            <w:r>
              <w:rPr>
                <w:color w:val="000000"/>
                <w:sz w:val="15"/>
                <w:szCs w:val="15"/>
              </w:rPr>
              <w:t>无 (None)</w:t>
            </w:r>
          </w:p>
        </w:tc>
      </w:tr>
      <w:tr w14:paraId="0230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07678676">
            <w:pPr>
              <w:spacing w:after="160" w:line="240" w:lineRule="exact"/>
              <w:rPr>
                <w:b/>
                <w:bCs/>
                <w:color w:val="1F497D"/>
                <w:sz w:val="15"/>
                <w:szCs w:val="15"/>
              </w:rPr>
            </w:pPr>
            <w:r>
              <w:rPr>
                <w:rFonts w:hAnsi="宋体"/>
                <w:b/>
                <w:bCs/>
                <w:color w:val="1F497D"/>
                <w:sz w:val="15"/>
                <w:szCs w:val="15"/>
              </w:rPr>
              <w:t>选课对象</w:t>
            </w:r>
            <w:r>
              <w:rPr>
                <w:b/>
                <w:bCs/>
                <w:color w:val="1F497D"/>
                <w:sz w:val="15"/>
                <w:szCs w:val="15"/>
              </w:rPr>
              <w:t xml:space="preserve"> Registration Recommendations</w:t>
            </w:r>
          </w:p>
        </w:tc>
        <w:tc>
          <w:tcPr>
            <w:tcW w:w="4678" w:type="dxa"/>
            <w:vAlign w:val="center"/>
          </w:tcPr>
          <w:p w14:paraId="1222DE05">
            <w:pPr>
              <w:spacing w:after="160"/>
              <w:rPr>
                <w:color w:val="000000"/>
                <w:sz w:val="15"/>
                <w:szCs w:val="15"/>
              </w:rPr>
            </w:pPr>
            <w:r>
              <w:rPr>
                <w:rFonts w:hAnsi="宋体"/>
                <w:color w:val="000000"/>
                <w:sz w:val="15"/>
                <w:szCs w:val="15"/>
              </w:rPr>
              <w:t>高年级本科生/硕士/博士研究生 (Upper-level undergraduate students</w:t>
            </w:r>
            <w:r>
              <w:rPr>
                <w:rFonts w:hint="eastAsia" w:hAnsi="宋体"/>
                <w:color w:val="000000"/>
                <w:sz w:val="15"/>
                <w:szCs w:val="15"/>
              </w:rPr>
              <w:t xml:space="preserve">, </w:t>
            </w:r>
            <w:r>
              <w:rPr>
                <w:rFonts w:hAnsi="宋体"/>
                <w:color w:val="000000"/>
                <w:sz w:val="15"/>
                <w:szCs w:val="15"/>
              </w:rPr>
              <w:t>Postgraduate Students)</w:t>
            </w:r>
          </w:p>
        </w:tc>
      </w:tr>
      <w:tr w14:paraId="23AD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7F7A046D">
            <w:pPr>
              <w:spacing w:after="160" w:line="240" w:lineRule="exact"/>
              <w:rPr>
                <w:rFonts w:hint="eastAsia" w:hAnsi="宋体"/>
                <w:b/>
                <w:bCs/>
                <w:color w:val="1F497D"/>
                <w:sz w:val="15"/>
                <w:szCs w:val="15"/>
              </w:rPr>
            </w:pPr>
            <w:r>
              <w:rPr>
                <w:rFonts w:hAnsi="宋体"/>
                <w:b/>
                <w:bCs/>
                <w:color w:val="1F497D"/>
                <w:sz w:val="15"/>
                <w:szCs w:val="15"/>
              </w:rPr>
              <w:t>课时与学分 Lecture Hours &amp; Credits</w:t>
            </w:r>
          </w:p>
        </w:tc>
        <w:tc>
          <w:tcPr>
            <w:tcW w:w="4678" w:type="dxa"/>
            <w:vAlign w:val="center"/>
          </w:tcPr>
          <w:p w14:paraId="694A3E31">
            <w:pPr>
              <w:spacing w:after="160" w:line="240" w:lineRule="exact"/>
              <w:rPr>
                <w:rFonts w:hint="eastAsia" w:hAnsi="宋体"/>
                <w:b/>
                <w:bCs/>
                <w:color w:val="000000"/>
                <w:sz w:val="15"/>
                <w:szCs w:val="15"/>
              </w:rPr>
            </w:pPr>
            <w:r>
              <w:rPr>
                <w:rFonts w:hAnsi="宋体"/>
                <w:bCs/>
                <w:color w:val="000000"/>
                <w:sz w:val="15"/>
                <w:szCs w:val="15"/>
              </w:rPr>
              <w:t>3</w:t>
            </w:r>
            <w:r>
              <w:rPr>
                <w:rFonts w:hint="eastAsia" w:hAnsi="宋体"/>
                <w:bCs/>
                <w:color w:val="000000"/>
                <w:sz w:val="15"/>
                <w:szCs w:val="15"/>
              </w:rPr>
              <w:t>6</w:t>
            </w:r>
            <w:r>
              <w:rPr>
                <w:rFonts w:hAnsi="宋体"/>
                <w:bCs/>
                <w:color w:val="000000"/>
                <w:sz w:val="15"/>
                <w:szCs w:val="15"/>
              </w:rPr>
              <w:t>学时；2学分 (3</w:t>
            </w:r>
            <w:r>
              <w:rPr>
                <w:rFonts w:hint="eastAsia" w:hAnsi="宋体"/>
                <w:bCs/>
                <w:color w:val="000000"/>
                <w:sz w:val="15"/>
                <w:szCs w:val="15"/>
              </w:rPr>
              <w:t>6</w:t>
            </w:r>
            <w:r>
              <w:rPr>
                <w:rFonts w:hAnsi="宋体"/>
                <w:bCs/>
                <w:color w:val="000000"/>
                <w:sz w:val="15"/>
                <w:szCs w:val="15"/>
              </w:rPr>
              <w:t xml:space="preserve"> Lecture Hours; 2 Credits)</w:t>
            </w:r>
          </w:p>
        </w:tc>
      </w:tr>
      <w:tr w14:paraId="58D0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686" w:type="dxa"/>
            <w:shd w:val="clear" w:color="auto" w:fill="B8CCE4"/>
            <w:vAlign w:val="center"/>
          </w:tcPr>
          <w:p w14:paraId="45DDB3A1">
            <w:pPr>
              <w:spacing w:after="160"/>
              <w:rPr>
                <w:b/>
                <w:bCs/>
                <w:color w:val="1F497D"/>
                <w:sz w:val="15"/>
                <w:szCs w:val="15"/>
              </w:rPr>
            </w:pPr>
            <w:r>
              <w:rPr>
                <w:rFonts w:hint="eastAsia" w:hAnsi="宋体"/>
                <w:b/>
                <w:bCs/>
                <w:color w:val="1F497D"/>
                <w:sz w:val="15"/>
                <w:szCs w:val="15"/>
              </w:rPr>
              <w:t>授课语言</w:t>
            </w:r>
            <w:r>
              <w:rPr>
                <w:b/>
                <w:bCs/>
                <w:color w:val="1F497D"/>
                <w:sz w:val="15"/>
                <w:szCs w:val="15"/>
              </w:rPr>
              <w:t xml:space="preserve"> </w:t>
            </w:r>
            <w:r>
              <w:rPr>
                <w:rFonts w:hint="eastAsia"/>
                <w:b/>
                <w:bCs/>
                <w:color w:val="1F497D"/>
                <w:sz w:val="15"/>
                <w:szCs w:val="15"/>
              </w:rPr>
              <w:t>Language taught</w:t>
            </w:r>
          </w:p>
        </w:tc>
        <w:tc>
          <w:tcPr>
            <w:tcW w:w="4678" w:type="dxa"/>
            <w:vAlign w:val="center"/>
          </w:tcPr>
          <w:p w14:paraId="1F9A8A23">
            <w:pPr>
              <w:spacing w:after="160"/>
              <w:rPr>
                <w:color w:val="000000"/>
                <w:sz w:val="15"/>
                <w:szCs w:val="15"/>
              </w:rPr>
            </w:pPr>
            <w:r>
              <w:rPr>
                <w:rFonts w:hint="eastAsia"/>
                <w:color w:val="000000"/>
                <w:sz w:val="15"/>
                <w:szCs w:val="15"/>
              </w:rPr>
              <w:t>中文 Chinese</w:t>
            </w:r>
          </w:p>
        </w:tc>
      </w:tr>
    </w:tbl>
    <w:p w14:paraId="3DECBE40">
      <w:pPr>
        <w:spacing w:before="100" w:beforeAutospacing="1" w:after="100" w:afterAutospacing="1"/>
        <w:rPr>
          <w:rFonts w:hint="eastAsia" w:hAnsi="宋体"/>
          <w:b/>
          <w:bCs/>
          <w:color w:val="000080"/>
          <w:sz w:val="24"/>
          <w:szCs w:val="24"/>
        </w:rPr>
      </w:pPr>
      <w:r>
        <w:rPr>
          <w:rFonts w:hint="eastAsia" w:hAnsi="宋体"/>
          <w:b/>
          <w:bCs/>
          <w:color w:val="000080"/>
          <w:sz w:val="24"/>
          <w:szCs w:val="24"/>
        </w:rPr>
        <w:t xml:space="preserve">基本信息 </w:t>
      </w:r>
      <w:r>
        <w:rPr>
          <w:rFonts w:hAnsi="宋体"/>
          <w:b/>
          <w:bCs/>
          <w:color w:val="000080"/>
          <w:sz w:val="24"/>
          <w:szCs w:val="24"/>
        </w:rPr>
        <w:t>Basic information</w:t>
      </w:r>
    </w:p>
    <w:p w14:paraId="5E9BBF7A">
      <w:pPr>
        <w:spacing w:after="160"/>
        <w:rPr>
          <w:rFonts w:hint="eastAsia" w:hAnsi="宋体"/>
          <w:b/>
          <w:bCs/>
          <w:color w:val="000080"/>
          <w:sz w:val="28"/>
          <w:szCs w:val="28"/>
        </w:rPr>
      </w:pPr>
    </w:p>
    <w:p w14:paraId="72CC7B6D">
      <w:pPr>
        <w:spacing w:before="100" w:beforeAutospacing="1" w:after="100" w:afterAutospacing="1"/>
        <w:rPr>
          <w:rFonts w:hint="eastAsia" w:hAnsi="宋体"/>
          <w:b/>
          <w:bCs/>
          <w:color w:val="000080"/>
          <w:sz w:val="24"/>
          <w:szCs w:val="24"/>
        </w:rPr>
      </w:pPr>
      <w:r>
        <w:rPr>
          <w:rFonts w:hAnsi="宋体"/>
          <w:b/>
          <w:bCs/>
          <w:color w:val="000080"/>
          <w:sz w:val="28"/>
          <w:szCs w:val="28"/>
        </w:rPr>
        <w:br w:type="page"/>
      </w:r>
      <w:r>
        <w:rPr>
          <w:rFonts w:hAnsi="宋体"/>
          <w:b/>
          <w:bCs/>
          <w:color w:val="000080"/>
          <w:sz w:val="24"/>
          <w:szCs w:val="24"/>
        </w:rPr>
        <w:t>课程目标</w:t>
      </w:r>
    </w:p>
    <w:p w14:paraId="2981DFD9">
      <w:pPr>
        <w:ind w:firstLine="360" w:firstLineChars="200"/>
        <w:rPr>
          <w:rFonts w:hint="eastAsia" w:hAnsi="宋体"/>
          <w:color w:val="000000"/>
          <w:sz w:val="18"/>
          <w:szCs w:val="18"/>
        </w:rPr>
      </w:pPr>
      <w:r>
        <w:rPr>
          <w:rFonts w:hint="eastAsia" w:hAnsi="宋体"/>
          <w:color w:val="000000"/>
          <w:sz w:val="18"/>
          <w:szCs w:val="18"/>
        </w:rPr>
        <w:t>1.系统梳理19世纪以来，中日两国在应对西方近代法概念冲击、编纂近现代法典、建立新式司法机构及培养法律人才等方面的实践，对比两国在涉外法治建设起步阶段的异同。</w:t>
      </w:r>
    </w:p>
    <w:p w14:paraId="76753E60">
      <w:pPr>
        <w:ind w:firstLine="360" w:firstLineChars="200"/>
        <w:rPr>
          <w:rFonts w:hint="eastAsia" w:hAnsi="宋体"/>
          <w:color w:val="000000"/>
          <w:sz w:val="18"/>
          <w:szCs w:val="18"/>
        </w:rPr>
      </w:pPr>
      <w:r>
        <w:rPr>
          <w:rFonts w:hint="eastAsia" w:hAnsi="宋体"/>
          <w:color w:val="000000"/>
          <w:sz w:val="18"/>
          <w:szCs w:val="18"/>
        </w:rPr>
        <w:t>2.重点聚焦于两国近代法形成过程中，与“条约改正”这一核心涉外法治议题紧密相关的刑事法领域，深入分析两国如何通过国内刑事法制改革以争取和恢复国家司法主权。</w:t>
      </w:r>
    </w:p>
    <w:p w14:paraId="79B00D25">
      <w:pPr>
        <w:ind w:firstLine="360" w:firstLineChars="200"/>
        <w:rPr>
          <w:sz w:val="18"/>
          <w:szCs w:val="18"/>
        </w:rPr>
      </w:pPr>
      <w:r>
        <w:rPr>
          <w:rFonts w:hint="eastAsia" w:hAnsi="宋体"/>
          <w:color w:val="000000"/>
          <w:sz w:val="18"/>
          <w:szCs w:val="18"/>
        </w:rPr>
        <w:t>3.引导学生通过中日比较的视角，探讨近代东亚国际关系格局下，两国国内法制建设与涉外法治需求之间的互动关系，并重新审视“传统”与“近代”在构建新式法秩序过程中的延续与变革。</w:t>
      </w:r>
    </w:p>
    <w:p w14:paraId="70C83B33">
      <w:pPr>
        <w:spacing w:before="100" w:beforeAutospacing="1" w:after="100" w:afterAutospacing="1"/>
        <w:rPr>
          <w:b/>
          <w:bCs/>
          <w:color w:val="000080"/>
          <w:sz w:val="24"/>
          <w:szCs w:val="24"/>
        </w:rPr>
      </w:pPr>
      <w:r>
        <w:rPr>
          <w:b/>
          <w:bCs/>
          <w:color w:val="000080"/>
          <w:sz w:val="24"/>
          <w:szCs w:val="24"/>
        </w:rPr>
        <w:t>Learning Goals</w:t>
      </w:r>
    </w:p>
    <w:p w14:paraId="06E44D80">
      <w:pPr>
        <w:ind w:firstLine="360" w:firstLineChars="200"/>
        <w:rPr>
          <w:rFonts w:hint="eastAsia" w:hAnsi="宋体"/>
          <w:color w:val="000000"/>
          <w:sz w:val="18"/>
          <w:szCs w:val="18"/>
        </w:rPr>
      </w:pPr>
      <w:r>
        <w:rPr>
          <w:rFonts w:hint="eastAsia"/>
          <w:color w:val="000000"/>
          <w:sz w:val="18"/>
          <w:szCs w:val="18"/>
        </w:rPr>
        <w:t>1.</w:t>
      </w:r>
      <w:r>
        <w:rPr>
          <w:color w:val="000000"/>
          <w:sz w:val="18"/>
          <w:szCs w:val="18"/>
        </w:rPr>
        <w:t xml:space="preserve">To </w:t>
      </w:r>
      <w:r>
        <w:rPr>
          <w:rFonts w:hAnsi="宋体"/>
          <w:color w:val="000000"/>
          <w:sz w:val="18"/>
          <w:szCs w:val="18"/>
        </w:rPr>
        <w:t>systematically review the practices of China and Japan since the 19th century in responding to the impact of modern Western legal concepts, compiling modern legal codes, establishing new judicial institutions, and cultivating legal talent, and to compare the similarities and differences between the two countries in the initial stages of building a foreign-related rule of law.</w:t>
      </w:r>
    </w:p>
    <w:p w14:paraId="5D6BFD5A">
      <w:pPr>
        <w:ind w:firstLine="360" w:firstLineChars="200"/>
        <w:rPr>
          <w:rFonts w:hint="eastAsia" w:hAnsi="宋体"/>
          <w:color w:val="000000"/>
          <w:sz w:val="18"/>
          <w:szCs w:val="18"/>
        </w:rPr>
      </w:pPr>
      <w:r>
        <w:rPr>
          <w:rFonts w:hint="eastAsia" w:hAnsi="宋体"/>
          <w:color w:val="000000"/>
          <w:sz w:val="18"/>
          <w:szCs w:val="18"/>
        </w:rPr>
        <w:t>2.</w:t>
      </w:r>
      <w:r>
        <w:rPr>
          <w:rFonts w:hAnsi="宋体"/>
          <w:color w:val="000000"/>
          <w:sz w:val="18"/>
          <w:szCs w:val="18"/>
        </w:rPr>
        <w:t>To focus on the field of criminal law—which was closely related to "Treaty Revision," a core issue of foreign-related rule of law—during the formation process of modern law in both countries, and to deeply analyze how the two nations strove to gain and restore national judicial sovereignty through domestic criminal legal system reforms.</w:t>
      </w:r>
    </w:p>
    <w:p w14:paraId="79D0EA61">
      <w:pPr>
        <w:ind w:firstLine="360" w:firstLineChars="200"/>
        <w:rPr>
          <w:rFonts w:hint="eastAsia" w:hAnsi="宋体"/>
          <w:color w:val="000000"/>
          <w:sz w:val="18"/>
          <w:szCs w:val="18"/>
        </w:rPr>
      </w:pPr>
      <w:r>
        <w:rPr>
          <w:rFonts w:hint="eastAsia" w:hAnsi="宋体"/>
          <w:color w:val="000000"/>
          <w:sz w:val="18"/>
          <w:szCs w:val="18"/>
        </w:rPr>
        <w:t>3.</w:t>
      </w:r>
      <w:r>
        <w:rPr>
          <w:rFonts w:hAnsi="宋体"/>
          <w:color w:val="000000"/>
          <w:sz w:val="18"/>
          <w:szCs w:val="18"/>
        </w:rPr>
        <w:t>To guide students, from a Sino-Japanese comparative perspective, to explore the interaction between domestic legal system construction and the demands for foreign-related rule of law under the pattern of international relations in modern East Asia, and to re-examine the continuity and change of "tradition" and "modernity" in the process of constructing a new legal order.</w:t>
      </w:r>
    </w:p>
    <w:p w14:paraId="38E0B4CA">
      <w:pPr>
        <w:spacing w:before="100" w:beforeAutospacing="1" w:after="100" w:afterAutospacing="1"/>
        <w:rPr>
          <w:rFonts w:hint="eastAsia" w:ascii="仿宋_GB2312" w:hAnsi="宋体" w:eastAsia="仿宋_GB2312" w:cs="宋体"/>
          <w:kern w:val="0"/>
          <w:sz w:val="24"/>
          <w:szCs w:val="24"/>
        </w:rPr>
      </w:pPr>
      <w:r>
        <w:rPr>
          <w:rFonts w:hint="eastAsia" w:hAnsi="宋体"/>
          <w:b/>
          <w:bCs/>
          <w:color w:val="000080"/>
          <w:sz w:val="24"/>
          <w:szCs w:val="24"/>
        </w:rPr>
        <w:t>课程内容</w:t>
      </w:r>
    </w:p>
    <w:p w14:paraId="758D44D8">
      <w:pPr>
        <w:ind w:firstLine="360" w:firstLineChars="200"/>
        <w:rPr>
          <w:rFonts w:hint="eastAsia"/>
          <w:color w:val="FF0000"/>
          <w:sz w:val="18"/>
          <w:szCs w:val="18"/>
        </w:rPr>
      </w:pPr>
      <w:r>
        <w:rPr>
          <w:rFonts w:hAnsi="宋体"/>
          <w:color w:val="000000"/>
          <w:sz w:val="18"/>
          <w:szCs w:val="18"/>
        </w:rPr>
        <w:t>本课程内容</w:t>
      </w:r>
      <w:r>
        <w:rPr>
          <w:rFonts w:hint="eastAsia" w:hAnsi="宋体"/>
          <w:color w:val="000000"/>
          <w:sz w:val="18"/>
          <w:szCs w:val="18"/>
        </w:rPr>
        <w:t>包括</w:t>
      </w:r>
      <w:r>
        <w:rPr>
          <w:rFonts w:hAnsi="宋体"/>
          <w:color w:val="000000"/>
          <w:sz w:val="18"/>
          <w:szCs w:val="18"/>
        </w:rPr>
        <w:t>法典编纂、司法实践、法律教育以及区域法制等多个维度。课程分为七个主要模块：</w:t>
      </w:r>
      <w:r>
        <w:rPr>
          <w:rFonts w:hint="eastAsia" w:hAnsi="宋体"/>
          <w:color w:val="000000"/>
          <w:sz w:val="18"/>
          <w:szCs w:val="18"/>
        </w:rPr>
        <w:t>1.</w:t>
      </w:r>
      <w:r>
        <w:rPr>
          <w:rFonts w:hAnsi="宋体"/>
          <w:color w:val="000000"/>
          <w:sz w:val="18"/>
          <w:szCs w:val="18"/>
        </w:rPr>
        <w:t>梳理中日两国近现代法制史的时期划分与基本脉络。</w:t>
      </w:r>
      <w:r>
        <w:rPr>
          <w:rFonts w:hint="eastAsia" w:hAnsi="宋体"/>
          <w:color w:val="000000"/>
          <w:sz w:val="18"/>
          <w:szCs w:val="18"/>
        </w:rPr>
        <w:t>2.</w:t>
      </w:r>
      <w:r>
        <w:rPr>
          <w:rFonts w:hAnsi="宋体"/>
          <w:color w:val="000000"/>
          <w:sz w:val="18"/>
          <w:szCs w:val="18"/>
        </w:rPr>
        <w:t>深入探讨明治日本的法典编纂、近代刑法与刑诉法，并对比清末民初的法典编纂、中华民国刑法及刑事诉讼法的制定过程，最后进行专题比较。</w:t>
      </w:r>
      <w:r>
        <w:rPr>
          <w:rFonts w:hint="eastAsia" w:hAnsi="宋体"/>
          <w:color w:val="000000"/>
          <w:sz w:val="18"/>
          <w:szCs w:val="18"/>
        </w:rPr>
        <w:t>3.</w:t>
      </w:r>
      <w:r>
        <w:rPr>
          <w:rFonts w:hAnsi="宋体"/>
          <w:color w:val="000000"/>
          <w:sz w:val="18"/>
          <w:szCs w:val="18"/>
        </w:rPr>
        <w:t>分析近代日本的法曹养成与刑法学，对比清末及民国时期的法律教育与法学研究，并探讨两国学界的相互观察与学术交流。</w:t>
      </w:r>
      <w:r>
        <w:rPr>
          <w:rFonts w:hint="eastAsia" w:hAnsi="宋体"/>
          <w:color w:val="000000"/>
          <w:sz w:val="18"/>
          <w:szCs w:val="18"/>
        </w:rPr>
        <w:t>4.</w:t>
      </w:r>
      <w:r>
        <w:rPr>
          <w:rFonts w:hAnsi="宋体"/>
          <w:color w:val="000000"/>
          <w:sz w:val="18"/>
          <w:szCs w:val="18"/>
        </w:rPr>
        <w:t>分别介绍近代日本与清末民国时期在裁判制度、新式裁判所设置以及监狱改革方面的举措，并进行对比。</w:t>
      </w:r>
      <w:r>
        <w:rPr>
          <w:rFonts w:hint="eastAsia" w:hAnsi="宋体"/>
          <w:color w:val="000000"/>
          <w:sz w:val="18"/>
          <w:szCs w:val="18"/>
        </w:rPr>
        <w:t>5.</w:t>
      </w:r>
      <w:r>
        <w:rPr>
          <w:rFonts w:hAnsi="宋体"/>
          <w:color w:val="000000"/>
          <w:sz w:val="18"/>
          <w:szCs w:val="18"/>
        </w:rPr>
        <w:t>探讨近代中日的犯罪问题与刑事裁判实践，并重点比较两国在检察、警察及刑事裁判制度上的异同。</w:t>
      </w:r>
      <w:r>
        <w:rPr>
          <w:rFonts w:hint="eastAsia" w:hAnsi="宋体"/>
          <w:color w:val="000000"/>
          <w:sz w:val="18"/>
          <w:szCs w:val="18"/>
        </w:rPr>
        <w:t>6.</w:t>
      </w:r>
      <w:r>
        <w:rPr>
          <w:rFonts w:hAnsi="宋体"/>
          <w:color w:val="000000"/>
          <w:sz w:val="18"/>
          <w:szCs w:val="18"/>
        </w:rPr>
        <w:t>扩展视野至东亚不同区域，专题介绍台湾和朝鲜</w:t>
      </w:r>
      <w:r>
        <w:rPr>
          <w:rFonts w:hint="eastAsia" w:hAnsi="宋体" w:eastAsiaTheme="minorEastAsia"/>
          <w:color w:val="000000"/>
          <w:sz w:val="18"/>
          <w:szCs w:val="18"/>
        </w:rPr>
        <w:t>等地</w:t>
      </w:r>
      <w:r>
        <w:rPr>
          <w:rFonts w:hAnsi="宋体"/>
          <w:color w:val="000000"/>
          <w:sz w:val="18"/>
          <w:szCs w:val="18"/>
        </w:rPr>
        <w:t>的刑事法制。</w:t>
      </w:r>
      <w:r>
        <w:rPr>
          <w:rFonts w:hint="eastAsia" w:hAnsi="宋体"/>
          <w:color w:val="000000"/>
          <w:sz w:val="18"/>
          <w:szCs w:val="18"/>
        </w:rPr>
        <w:t>7.</w:t>
      </w:r>
      <w:r>
        <w:rPr>
          <w:rFonts w:hAnsi="宋体"/>
          <w:color w:val="000000"/>
          <w:sz w:val="18"/>
          <w:szCs w:val="18"/>
        </w:rPr>
        <w:t>总结。</w:t>
      </w:r>
    </w:p>
    <w:p w14:paraId="34D0EF32">
      <w:pPr>
        <w:spacing w:before="100" w:beforeAutospacing="1" w:after="100" w:afterAutospacing="1"/>
        <w:jc w:val="left"/>
        <w:rPr>
          <w:rFonts w:hint="eastAsia" w:hAnsi="宋体"/>
          <w:b/>
          <w:bCs/>
          <w:color w:val="000080"/>
          <w:sz w:val="24"/>
          <w:szCs w:val="24"/>
        </w:rPr>
      </w:pPr>
      <w:r>
        <w:rPr>
          <w:rFonts w:hint="eastAsia" w:hAnsi="宋体"/>
          <w:b/>
          <w:bCs/>
          <w:color w:val="000080"/>
          <w:sz w:val="24"/>
          <w:szCs w:val="24"/>
        </w:rPr>
        <w:t>Content</w:t>
      </w:r>
    </w:p>
    <w:p w14:paraId="2169A014">
      <w:pPr>
        <w:ind w:firstLine="360" w:firstLineChars="200"/>
      </w:pPr>
      <w:r>
        <w:rPr>
          <w:color w:val="000000"/>
          <w:sz w:val="18"/>
          <w:szCs w:val="18"/>
        </w:rPr>
        <w:t>This course delv</w:t>
      </w:r>
      <w:r>
        <w:rPr>
          <w:rFonts w:hint="eastAsia"/>
          <w:color w:val="000000"/>
          <w:sz w:val="18"/>
          <w:szCs w:val="18"/>
        </w:rPr>
        <w:t>es</w:t>
      </w:r>
      <w:r>
        <w:rPr>
          <w:color w:val="000000"/>
          <w:sz w:val="18"/>
          <w:szCs w:val="18"/>
        </w:rPr>
        <w:t xml:space="preserve"> into multiple dimensions including codification, judicial practice, legal education, and </w:t>
      </w:r>
      <w:r>
        <w:rPr>
          <w:rFonts w:hAnsi="宋体"/>
          <w:color w:val="000000"/>
          <w:sz w:val="18"/>
          <w:szCs w:val="18"/>
        </w:rPr>
        <w:t>regional</w:t>
      </w:r>
      <w:r>
        <w:rPr>
          <w:color w:val="000000"/>
          <w:sz w:val="18"/>
          <w:szCs w:val="18"/>
        </w:rPr>
        <w:t xml:space="preserve"> legal systems. The course is divided into seven main parts: </w:t>
      </w:r>
      <w:r>
        <w:rPr>
          <w:rFonts w:hint="eastAsia"/>
          <w:color w:val="000000"/>
          <w:sz w:val="18"/>
          <w:szCs w:val="18"/>
        </w:rPr>
        <w:t xml:space="preserve">1. </w:t>
      </w:r>
      <w:r>
        <w:rPr>
          <w:color w:val="000000"/>
          <w:sz w:val="18"/>
          <w:szCs w:val="18"/>
        </w:rPr>
        <w:t xml:space="preserve">Outlines the periodization and basic context of modern legal history in China and Japan. </w:t>
      </w:r>
      <w:r>
        <w:rPr>
          <w:rFonts w:hint="eastAsia"/>
          <w:color w:val="000000"/>
          <w:sz w:val="18"/>
          <w:szCs w:val="18"/>
        </w:rPr>
        <w:t>2.</w:t>
      </w:r>
      <w:r>
        <w:rPr>
          <w:color w:val="000000"/>
          <w:sz w:val="18"/>
          <w:szCs w:val="18"/>
        </w:rPr>
        <w:t xml:space="preserve"> Explores Meiji Japan's codification, modern criminal law, and criminal procedure. </w:t>
      </w:r>
      <w:r>
        <w:rPr>
          <w:rFonts w:hint="eastAsia"/>
          <w:color w:val="000000"/>
          <w:sz w:val="18"/>
          <w:szCs w:val="18"/>
        </w:rPr>
        <w:t>3.</w:t>
      </w:r>
      <w:r>
        <w:rPr>
          <w:color w:val="000000"/>
          <w:sz w:val="18"/>
          <w:szCs w:val="18"/>
        </w:rPr>
        <w:t xml:space="preserve"> Analyzes legal profession training and criminology in modern Japan, comparing them with legal education and legal research in the late Qing and Republican eras, and discusses mutual perspectives and academic exchange. </w:t>
      </w:r>
      <w:r>
        <w:rPr>
          <w:rFonts w:hint="eastAsia"/>
          <w:color w:val="000000"/>
          <w:sz w:val="18"/>
          <w:szCs w:val="18"/>
        </w:rPr>
        <w:t>4.</w:t>
      </w:r>
      <w:r>
        <w:rPr>
          <w:color w:val="000000"/>
          <w:sz w:val="18"/>
          <w:szCs w:val="18"/>
        </w:rPr>
        <w:t xml:space="preserve"> Introduces the measures taken in judicial systems, the establishment of new-style courts, and prison reforms in modern Japan and the late Qing/Republican period. </w:t>
      </w:r>
      <w:r>
        <w:rPr>
          <w:rFonts w:hint="eastAsia"/>
          <w:color w:val="000000"/>
          <w:sz w:val="18"/>
          <w:szCs w:val="18"/>
        </w:rPr>
        <w:t>5.</w:t>
      </w:r>
      <w:r>
        <w:rPr>
          <w:color w:val="000000"/>
          <w:sz w:val="18"/>
          <w:szCs w:val="18"/>
        </w:rPr>
        <w:t xml:space="preserve"> Discusses crime issues and criminal trial practices in modern China and Japan, and compares their procuratorate, police, and criminal trial systems. </w:t>
      </w:r>
      <w:r>
        <w:rPr>
          <w:rFonts w:hint="eastAsia"/>
          <w:color w:val="000000"/>
          <w:sz w:val="18"/>
          <w:szCs w:val="18"/>
        </w:rPr>
        <w:t>6.</w:t>
      </w:r>
      <w:r>
        <w:rPr>
          <w:color w:val="000000"/>
          <w:sz w:val="18"/>
          <w:szCs w:val="18"/>
        </w:rPr>
        <w:t xml:space="preserve"> Expands the scope to different regions, featuring lectures on Taiwan</w:t>
      </w:r>
      <w:r>
        <w:rPr>
          <w:rFonts w:hint="eastAsia"/>
          <w:color w:val="000000"/>
          <w:sz w:val="18"/>
          <w:szCs w:val="18"/>
        </w:rPr>
        <w:t xml:space="preserve">, </w:t>
      </w:r>
      <w:r>
        <w:rPr>
          <w:color w:val="000000"/>
          <w:sz w:val="18"/>
          <w:szCs w:val="18"/>
        </w:rPr>
        <w:t>Korea</w:t>
      </w:r>
      <w:r>
        <w:rPr>
          <w:rFonts w:hint="eastAsia"/>
          <w:color w:val="000000"/>
          <w:sz w:val="18"/>
          <w:szCs w:val="18"/>
        </w:rPr>
        <w:t xml:space="preserve"> and so on</w:t>
      </w:r>
      <w:r>
        <w:rPr>
          <w:color w:val="000000"/>
          <w:sz w:val="18"/>
          <w:szCs w:val="18"/>
        </w:rPr>
        <w:t xml:space="preserve">. </w:t>
      </w:r>
      <w:r>
        <w:rPr>
          <w:rFonts w:hint="eastAsia"/>
          <w:color w:val="000000"/>
          <w:sz w:val="18"/>
          <w:szCs w:val="18"/>
        </w:rPr>
        <w:t>7.</w:t>
      </w:r>
      <w:r>
        <w:rPr>
          <w:color w:val="000000"/>
          <w:sz w:val="18"/>
          <w:szCs w:val="18"/>
        </w:rPr>
        <w:t xml:space="preserve"> </w:t>
      </w:r>
      <w:r>
        <w:rPr>
          <w:rFonts w:hint="eastAsia"/>
          <w:color w:val="000000"/>
          <w:sz w:val="18"/>
          <w:szCs w:val="18"/>
        </w:rPr>
        <w:t>Fi</w:t>
      </w:r>
      <w:r>
        <w:rPr>
          <w:color w:val="000000"/>
          <w:sz w:val="18"/>
          <w:szCs w:val="18"/>
        </w:rPr>
        <w:t>nal summary.</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E0C0">
    <w:pPr>
      <w:pStyle w:val="2"/>
      <w:jc w:val="right"/>
    </w:pPr>
    <w:r>
      <w:fldChar w:fldCharType="begin"/>
    </w:r>
    <w:r>
      <w:instrText xml:space="preserve"> PAGE   \* MERGEFORMAT </w:instrText>
    </w:r>
    <w:r>
      <w:fldChar w:fldCharType="separate"/>
    </w:r>
    <w:r>
      <w:rPr>
        <w:lang w:val="zh-CN"/>
      </w:rPr>
      <w:t>1</w:t>
    </w:r>
    <w:r>
      <w:fldChar w:fldCharType="end"/>
    </w:r>
  </w:p>
  <w:p w14:paraId="6589BDA8">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81E07"/>
    <w:rsid w:val="00130039"/>
    <w:rsid w:val="001453B3"/>
    <w:rsid w:val="00175AA8"/>
    <w:rsid w:val="003B56F6"/>
    <w:rsid w:val="00434D43"/>
    <w:rsid w:val="00453393"/>
    <w:rsid w:val="00464083"/>
    <w:rsid w:val="0053147C"/>
    <w:rsid w:val="0056183F"/>
    <w:rsid w:val="005860C7"/>
    <w:rsid w:val="005B4275"/>
    <w:rsid w:val="00616378"/>
    <w:rsid w:val="007E4EDD"/>
    <w:rsid w:val="00AA4118"/>
    <w:rsid w:val="00B73B5E"/>
    <w:rsid w:val="00BE7F96"/>
    <w:rsid w:val="00C13C91"/>
    <w:rsid w:val="00C305DF"/>
    <w:rsid w:val="00D63EF5"/>
    <w:rsid w:val="00E10E9D"/>
    <w:rsid w:val="00E66843"/>
    <w:rsid w:val="00FB27FB"/>
    <w:rsid w:val="5069139C"/>
    <w:rsid w:val="50B81E07"/>
    <w:rsid w:val="69E3037E"/>
    <w:rsid w:val="6F3621B0"/>
    <w:rsid w:val="77B00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1334</Words>
  <Characters>3674</Characters>
  <Lines>31</Lines>
  <Paragraphs>8</Paragraphs>
  <TotalTime>30</TotalTime>
  <ScaleCrop>false</ScaleCrop>
  <LinksUpToDate>false</LinksUpToDate>
  <CharactersWithSpaces>4145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2020-12-29T08:40:00Z</dcterms:created>
  <dc:creator>田华</dc:creator>
  <cp:lastModifiedBy>admin</cp:lastModifiedBy>
  <dcterms:modified xsi:type="dcterms:W3CDTF">2026-04-10T05:45:58Z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28F16873D50C41F89AACBCD47612B15E_13</vt:lpwstr>
  </property>
  <property fmtid="{D5CDD505-2E9C-101B-9397-08002B2CF9AE}" pid="4" name="KSOTemplateDocerSaveRecord">
    <vt:lpwstr>eyJoZGlkIjoiYTFhNjQxMzQwYmY4ZDY4ZmYxNTg0NTkxNjMxYzY5YjYiLCJ1c2VySWQiOiIyNjQ5MDI0MTcifQ==</vt:lpwstr>
  </property>
</Properties>
</file>