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03890" w14:textId="14780FDB" w:rsidR="00651FC5" w:rsidRDefault="00037D8C">
      <w:pPr>
        <w:ind w:firstLine="1"/>
        <w:jc w:val="center"/>
        <w:rPr>
          <w:rFonts w:hAnsi="宋体" w:hint="eastAsia"/>
          <w:b/>
          <w:bCs/>
          <w:sz w:val="32"/>
          <w:szCs w:val="32"/>
        </w:rPr>
      </w:pPr>
      <w:r>
        <w:rPr>
          <w:rFonts w:hAnsi="宋体" w:hint="eastAsia"/>
          <w:b/>
          <w:bCs/>
          <w:sz w:val="32"/>
          <w:szCs w:val="32"/>
        </w:rPr>
        <w:t>日本民事诉讼法</w:t>
      </w:r>
    </w:p>
    <w:p w14:paraId="35603891" w14:textId="5B06BA13" w:rsidR="00651FC5" w:rsidRDefault="00F16CDD">
      <w:pPr>
        <w:spacing w:after="160"/>
        <w:jc w:val="center"/>
        <w:rPr>
          <w:rFonts w:hAnsi="宋体" w:hint="eastAsia"/>
          <w:b/>
          <w:bCs/>
          <w:sz w:val="28"/>
          <w:szCs w:val="28"/>
        </w:rPr>
      </w:pPr>
      <w:r>
        <w:rPr>
          <w:rFonts w:hAnsi="宋体" w:hint="eastAsia"/>
          <w:b/>
          <w:bCs/>
          <w:sz w:val="28"/>
          <w:szCs w:val="28"/>
        </w:rPr>
        <w:t xml:space="preserve">Japanese </w:t>
      </w:r>
      <w:r w:rsidR="00F8614B">
        <w:rPr>
          <w:rFonts w:hAnsi="宋体" w:hint="eastAsia"/>
          <w:b/>
          <w:bCs/>
          <w:sz w:val="28"/>
          <w:szCs w:val="28"/>
        </w:rPr>
        <w:t>C</w:t>
      </w:r>
      <w:r w:rsidR="001E66B2" w:rsidRPr="001E66B2">
        <w:rPr>
          <w:rFonts w:hAnsi="宋体"/>
          <w:b/>
          <w:bCs/>
          <w:sz w:val="28"/>
          <w:szCs w:val="28"/>
        </w:rPr>
        <w:t xml:space="preserve">ivil </w:t>
      </w:r>
      <w:r w:rsidR="00F8614B">
        <w:rPr>
          <w:rFonts w:hAnsi="宋体" w:hint="eastAsia"/>
          <w:b/>
          <w:bCs/>
          <w:sz w:val="28"/>
          <w:szCs w:val="28"/>
        </w:rPr>
        <w:t>P</w:t>
      </w:r>
      <w:r w:rsidR="001E66B2" w:rsidRPr="001E66B2">
        <w:rPr>
          <w:rFonts w:hAnsi="宋体"/>
          <w:b/>
          <w:bCs/>
          <w:sz w:val="28"/>
          <w:szCs w:val="28"/>
        </w:rPr>
        <w:t>rocedure</w:t>
      </w:r>
      <w:r>
        <w:rPr>
          <w:rFonts w:hAnsi="宋体" w:hint="eastAsia"/>
          <w:b/>
          <w:bCs/>
          <w:sz w:val="28"/>
          <w:szCs w:val="28"/>
        </w:rPr>
        <w:t xml:space="preserve"> Law</w:t>
      </w:r>
    </w:p>
    <w:p w14:paraId="35603892" w14:textId="77777777" w:rsidR="00651FC5" w:rsidRDefault="00000000">
      <w:pPr>
        <w:spacing w:before="100" w:beforeAutospacing="1" w:after="100" w:afterAutospacing="1"/>
        <w:rPr>
          <w:rFonts w:hAnsi="宋体" w:hint="eastAsia"/>
          <w:b/>
          <w:bCs/>
          <w:color w:val="000080"/>
          <w:sz w:val="24"/>
          <w:szCs w:val="24"/>
        </w:rPr>
      </w:pPr>
      <w:r>
        <w:rPr>
          <w:rFonts w:hAnsi="宋体" w:hint="eastAsia"/>
          <w:b/>
          <w:bCs/>
          <w:color w:val="000080"/>
          <w:sz w:val="24"/>
          <w:szCs w:val="24"/>
        </w:rPr>
        <w:t>课程主讲人简介</w:t>
      </w:r>
    </w:p>
    <w:p w14:paraId="6612EC41" w14:textId="38C00289" w:rsidR="00E54AA5" w:rsidRDefault="00E54AA5" w:rsidP="00CF6EFE">
      <w:pPr>
        <w:spacing w:after="160" w:line="276" w:lineRule="auto"/>
        <w:ind w:firstLineChars="200" w:firstLine="360"/>
        <w:rPr>
          <w:rFonts w:hAnsi="宋体" w:hint="eastAsia"/>
          <w:color w:val="000000"/>
          <w:sz w:val="18"/>
          <w:szCs w:val="18"/>
        </w:rPr>
      </w:pPr>
      <w:r>
        <w:rPr>
          <w:rFonts w:hAnsi="宋体" w:hint="eastAsia"/>
          <w:color w:val="000000"/>
          <w:sz w:val="18"/>
          <w:szCs w:val="18"/>
        </w:rPr>
        <w:t>CHO Zuiki</w:t>
      </w:r>
      <w:r>
        <w:rPr>
          <w:rFonts w:hAnsi="宋体" w:hint="eastAsia"/>
          <w:color w:val="000000"/>
          <w:sz w:val="18"/>
          <w:szCs w:val="18"/>
        </w:rPr>
        <w:t>，教授，</w:t>
      </w:r>
      <w:r>
        <w:rPr>
          <w:rFonts w:hAnsi="宋体" w:hint="eastAsia"/>
          <w:color w:val="000000"/>
          <w:sz w:val="18"/>
          <w:szCs w:val="18"/>
        </w:rPr>
        <w:t>2013</w:t>
      </w:r>
      <w:r>
        <w:rPr>
          <w:rFonts w:hAnsi="宋体" w:hint="eastAsia"/>
          <w:color w:val="000000"/>
          <w:sz w:val="18"/>
          <w:szCs w:val="18"/>
        </w:rPr>
        <w:t>年在日本名古屋大学</w:t>
      </w:r>
      <w:r w:rsidR="005A55F6">
        <w:rPr>
          <w:rFonts w:hAnsi="宋体" w:hint="eastAsia"/>
          <w:color w:val="000000"/>
          <w:sz w:val="18"/>
          <w:szCs w:val="18"/>
        </w:rPr>
        <w:t>获得</w:t>
      </w:r>
      <w:r w:rsidR="008E7AD2">
        <w:rPr>
          <w:rFonts w:hAnsi="宋体" w:hint="eastAsia"/>
          <w:color w:val="000000"/>
          <w:sz w:val="18"/>
          <w:szCs w:val="18"/>
        </w:rPr>
        <w:t>法学博士学位，</w:t>
      </w:r>
      <w:r w:rsidR="001A3B7B">
        <w:rPr>
          <w:rFonts w:hAnsi="宋体" w:hint="eastAsia"/>
          <w:color w:val="000000"/>
          <w:sz w:val="18"/>
          <w:szCs w:val="18"/>
        </w:rPr>
        <w:t>隶属于名古屋经济大学法学院</w:t>
      </w:r>
      <w:r w:rsidR="00087FBA">
        <w:rPr>
          <w:rFonts w:hAnsi="宋体" w:hint="eastAsia"/>
          <w:color w:val="000000"/>
          <w:sz w:val="18"/>
          <w:szCs w:val="18"/>
        </w:rPr>
        <w:t>，博士生导师</w:t>
      </w:r>
      <w:r w:rsidR="003D7292">
        <w:rPr>
          <w:rFonts w:hAnsi="宋体" w:hint="eastAsia"/>
          <w:color w:val="000000"/>
          <w:sz w:val="18"/>
          <w:szCs w:val="18"/>
        </w:rPr>
        <w:t>。</w:t>
      </w:r>
      <w:r w:rsidR="008E4D82">
        <w:rPr>
          <w:rFonts w:hAnsi="宋体" w:hint="eastAsia"/>
          <w:color w:val="000000"/>
          <w:sz w:val="18"/>
          <w:szCs w:val="18"/>
        </w:rPr>
        <w:t>曾</w:t>
      </w:r>
      <w:r w:rsidR="000F3A35">
        <w:rPr>
          <w:rFonts w:hAnsi="宋体" w:hint="eastAsia"/>
          <w:color w:val="000000"/>
          <w:sz w:val="18"/>
          <w:szCs w:val="18"/>
        </w:rPr>
        <w:t>先后</w:t>
      </w:r>
      <w:r w:rsidR="008E4D82">
        <w:rPr>
          <w:rFonts w:hAnsi="宋体" w:hint="eastAsia"/>
          <w:color w:val="000000"/>
          <w:sz w:val="18"/>
          <w:szCs w:val="18"/>
        </w:rPr>
        <w:t>在台湾大学</w:t>
      </w:r>
      <w:r w:rsidR="00B41A23">
        <w:rPr>
          <w:rFonts w:hAnsi="宋体" w:hint="eastAsia"/>
          <w:color w:val="000000"/>
          <w:sz w:val="18"/>
          <w:szCs w:val="18"/>
        </w:rPr>
        <w:t>法学院，</w:t>
      </w:r>
      <w:r w:rsidR="00B07B69">
        <w:rPr>
          <w:rFonts w:hAnsi="宋体" w:hint="eastAsia"/>
          <w:color w:val="000000"/>
          <w:sz w:val="18"/>
          <w:szCs w:val="18"/>
        </w:rPr>
        <w:t>华盛顿大学</w:t>
      </w:r>
      <w:r w:rsidR="00B44A79" w:rsidRPr="009E206B">
        <w:rPr>
          <w:rFonts w:hAnsi="宋体" w:hint="eastAsia"/>
          <w:color w:val="000000"/>
          <w:sz w:val="18"/>
          <w:szCs w:val="18"/>
        </w:rPr>
        <w:t>亚洲法中心</w:t>
      </w:r>
      <w:r w:rsidR="000F3A35">
        <w:rPr>
          <w:rFonts w:hAnsi="宋体" w:hint="eastAsia"/>
          <w:color w:val="000000"/>
          <w:sz w:val="18"/>
          <w:szCs w:val="18"/>
        </w:rPr>
        <w:t>和</w:t>
      </w:r>
      <w:r w:rsidR="00B07B69">
        <w:rPr>
          <w:rFonts w:hAnsi="宋体" w:hint="eastAsia"/>
          <w:color w:val="000000"/>
          <w:sz w:val="18"/>
          <w:szCs w:val="18"/>
        </w:rPr>
        <w:t>康斯坦茨大学</w:t>
      </w:r>
      <w:r w:rsidR="00B44A79">
        <w:rPr>
          <w:rFonts w:hAnsi="宋体" w:hint="eastAsia"/>
          <w:color w:val="000000"/>
          <w:sz w:val="18"/>
          <w:szCs w:val="18"/>
        </w:rPr>
        <w:t>法学院</w:t>
      </w:r>
      <w:r w:rsidR="002E4ABD">
        <w:rPr>
          <w:rFonts w:hAnsi="宋体" w:hint="eastAsia"/>
          <w:color w:val="000000"/>
          <w:sz w:val="18"/>
          <w:szCs w:val="18"/>
        </w:rPr>
        <w:t>访学</w:t>
      </w:r>
      <w:r w:rsidR="00F044F5">
        <w:rPr>
          <w:rFonts w:hAnsi="宋体" w:hint="eastAsia"/>
          <w:color w:val="000000"/>
          <w:sz w:val="18"/>
          <w:szCs w:val="18"/>
        </w:rPr>
        <w:t>，</w:t>
      </w:r>
      <w:r w:rsidR="00AE0008">
        <w:rPr>
          <w:rFonts w:hAnsi="宋体" w:hint="eastAsia"/>
          <w:color w:val="000000"/>
          <w:sz w:val="18"/>
          <w:szCs w:val="18"/>
        </w:rPr>
        <w:t>精通</w:t>
      </w:r>
      <w:r w:rsidR="001A7565">
        <w:rPr>
          <w:rFonts w:hAnsi="宋体" w:hint="eastAsia"/>
          <w:color w:val="000000"/>
          <w:sz w:val="18"/>
          <w:szCs w:val="18"/>
        </w:rPr>
        <w:t>日语</w:t>
      </w:r>
      <w:r w:rsidR="006E2B0A">
        <w:rPr>
          <w:rFonts w:hAnsi="宋体" w:hint="eastAsia"/>
          <w:color w:val="000000"/>
          <w:sz w:val="18"/>
          <w:szCs w:val="18"/>
        </w:rPr>
        <w:t>和中文，熟练掌握英文和德文。</w:t>
      </w:r>
      <w:r w:rsidR="001A7565">
        <w:rPr>
          <w:rFonts w:hAnsi="宋体" w:hint="eastAsia"/>
          <w:color w:val="000000"/>
          <w:sz w:val="18"/>
          <w:szCs w:val="18"/>
        </w:rPr>
        <w:t>其</w:t>
      </w:r>
      <w:r w:rsidR="00F85897">
        <w:rPr>
          <w:rFonts w:hAnsi="宋体" w:hint="eastAsia"/>
          <w:color w:val="000000"/>
          <w:sz w:val="18"/>
          <w:szCs w:val="18"/>
        </w:rPr>
        <w:t>研究领域包括</w:t>
      </w:r>
      <w:r w:rsidR="00AE0008">
        <w:rPr>
          <w:rFonts w:hAnsi="宋体" w:hint="eastAsia"/>
          <w:color w:val="000000"/>
          <w:sz w:val="18"/>
          <w:szCs w:val="18"/>
        </w:rPr>
        <w:t>：</w:t>
      </w:r>
      <w:r w:rsidR="00F85897">
        <w:rPr>
          <w:rFonts w:hAnsi="宋体" w:hint="eastAsia"/>
          <w:color w:val="000000"/>
          <w:sz w:val="18"/>
          <w:szCs w:val="18"/>
        </w:rPr>
        <w:t>民事诉讼法，</w:t>
      </w:r>
      <w:r w:rsidR="00BE02B4">
        <w:rPr>
          <w:rFonts w:hAnsi="宋体" w:hint="eastAsia"/>
          <w:color w:val="000000"/>
          <w:sz w:val="18"/>
          <w:szCs w:val="18"/>
        </w:rPr>
        <w:t>医事法及亚洲</w:t>
      </w:r>
      <w:r w:rsidR="000F1CE7">
        <w:rPr>
          <w:rFonts w:hAnsi="宋体" w:hint="eastAsia"/>
          <w:color w:val="000000"/>
          <w:sz w:val="18"/>
          <w:szCs w:val="18"/>
        </w:rPr>
        <w:t>法。</w:t>
      </w:r>
      <w:r w:rsidR="00BE02B4">
        <w:rPr>
          <w:rFonts w:hAnsi="宋体" w:hint="eastAsia"/>
          <w:color w:val="000000"/>
          <w:sz w:val="18"/>
          <w:szCs w:val="18"/>
        </w:rPr>
        <w:t>自</w:t>
      </w:r>
      <w:r w:rsidR="00BE02B4">
        <w:rPr>
          <w:rFonts w:hAnsi="宋体" w:hint="eastAsia"/>
          <w:color w:val="000000"/>
          <w:sz w:val="18"/>
          <w:szCs w:val="18"/>
        </w:rPr>
        <w:t>2015</w:t>
      </w:r>
      <w:r w:rsidR="00BE02B4">
        <w:rPr>
          <w:rFonts w:hAnsi="宋体" w:hint="eastAsia"/>
          <w:color w:val="000000"/>
          <w:sz w:val="18"/>
          <w:szCs w:val="18"/>
        </w:rPr>
        <w:t>年</w:t>
      </w:r>
      <w:r w:rsidR="008E37AF">
        <w:rPr>
          <w:rFonts w:hAnsi="宋体" w:hint="eastAsia"/>
          <w:color w:val="000000"/>
          <w:sz w:val="18"/>
          <w:szCs w:val="18"/>
        </w:rPr>
        <w:t>以来，一直</w:t>
      </w:r>
      <w:r w:rsidR="00BE02B4">
        <w:rPr>
          <w:rFonts w:hAnsi="宋体" w:hint="eastAsia"/>
          <w:color w:val="000000"/>
          <w:sz w:val="18"/>
          <w:szCs w:val="18"/>
        </w:rPr>
        <w:t>从事</w:t>
      </w:r>
      <w:r w:rsidR="002801B8">
        <w:rPr>
          <w:rFonts w:hAnsi="宋体" w:hint="eastAsia"/>
          <w:color w:val="000000"/>
          <w:sz w:val="18"/>
          <w:szCs w:val="18"/>
        </w:rPr>
        <w:t>日本民事诉讼法的教学工作</w:t>
      </w:r>
      <w:r w:rsidR="007C2796">
        <w:rPr>
          <w:rFonts w:hAnsi="宋体" w:hint="eastAsia"/>
          <w:color w:val="000000"/>
          <w:sz w:val="18"/>
          <w:szCs w:val="18"/>
        </w:rPr>
        <w:t>。</w:t>
      </w:r>
      <w:r w:rsidR="003A4C52" w:rsidRPr="000B3E1A">
        <w:rPr>
          <w:rFonts w:hAnsi="宋体"/>
          <w:color w:val="000000"/>
          <w:sz w:val="18"/>
          <w:szCs w:val="18"/>
        </w:rPr>
        <w:t>迄今为止，在</w:t>
      </w:r>
      <w:r w:rsidR="00DB1383">
        <w:rPr>
          <w:rFonts w:hAnsi="宋体" w:hint="eastAsia"/>
          <w:color w:val="000000"/>
          <w:sz w:val="18"/>
          <w:szCs w:val="18"/>
        </w:rPr>
        <w:t>各类</w:t>
      </w:r>
      <w:r w:rsidR="003A4C52" w:rsidRPr="000B3E1A">
        <w:rPr>
          <w:rFonts w:hAnsi="宋体"/>
          <w:color w:val="000000"/>
          <w:sz w:val="18"/>
          <w:szCs w:val="18"/>
        </w:rPr>
        <w:t>学术期刊上发表</w:t>
      </w:r>
      <w:r w:rsidR="00B46FCA">
        <w:rPr>
          <w:rFonts w:hAnsi="宋体" w:hint="eastAsia"/>
          <w:color w:val="000000"/>
          <w:sz w:val="18"/>
          <w:szCs w:val="18"/>
        </w:rPr>
        <w:t>论文</w:t>
      </w:r>
      <w:r w:rsidR="003A4C52" w:rsidRPr="000B3E1A">
        <w:rPr>
          <w:rFonts w:hAnsi="宋体"/>
          <w:color w:val="000000"/>
          <w:sz w:val="18"/>
          <w:szCs w:val="18"/>
        </w:rPr>
        <w:t>近</w:t>
      </w:r>
      <w:r w:rsidR="003A4C52" w:rsidRPr="000B3E1A">
        <w:rPr>
          <w:rFonts w:hAnsi="宋体"/>
          <w:color w:val="000000"/>
          <w:sz w:val="18"/>
          <w:szCs w:val="18"/>
        </w:rPr>
        <w:t>20</w:t>
      </w:r>
      <w:r w:rsidR="003A4C52" w:rsidRPr="000B3E1A">
        <w:rPr>
          <w:rFonts w:hAnsi="宋体"/>
          <w:color w:val="000000"/>
          <w:sz w:val="18"/>
          <w:szCs w:val="18"/>
        </w:rPr>
        <w:t>篇，并参与多项日本学术振兴会资助的科研课题。</w:t>
      </w:r>
      <w:r w:rsidR="00F2514C">
        <w:rPr>
          <w:rFonts w:hAnsi="宋体" w:hint="eastAsia"/>
          <w:color w:val="000000"/>
          <w:sz w:val="18"/>
          <w:szCs w:val="18"/>
        </w:rPr>
        <w:t>2023</w:t>
      </w:r>
      <w:r w:rsidR="00F2514C">
        <w:rPr>
          <w:rFonts w:hAnsi="宋体" w:hint="eastAsia"/>
          <w:color w:val="000000"/>
          <w:sz w:val="18"/>
          <w:szCs w:val="18"/>
        </w:rPr>
        <w:t>年</w:t>
      </w:r>
      <w:r w:rsidR="005134E9">
        <w:rPr>
          <w:rFonts w:hAnsi="宋体" w:hint="eastAsia"/>
          <w:color w:val="000000"/>
          <w:sz w:val="18"/>
          <w:szCs w:val="18"/>
        </w:rPr>
        <w:t>，</w:t>
      </w:r>
      <w:r w:rsidR="00F96513">
        <w:rPr>
          <w:rFonts w:hAnsi="宋体" w:hint="eastAsia"/>
          <w:color w:val="000000"/>
          <w:sz w:val="18"/>
          <w:szCs w:val="18"/>
        </w:rPr>
        <w:t>受乌兹别克斯坦</w:t>
      </w:r>
      <w:r w:rsidR="00F46268">
        <w:rPr>
          <w:rFonts w:hAnsi="宋体" w:hint="eastAsia"/>
          <w:color w:val="000000"/>
          <w:sz w:val="18"/>
          <w:szCs w:val="18"/>
        </w:rPr>
        <w:t>国</w:t>
      </w:r>
      <w:r w:rsidR="005134E9">
        <w:rPr>
          <w:rFonts w:hAnsi="宋体" w:hint="eastAsia"/>
          <w:color w:val="000000"/>
          <w:sz w:val="18"/>
          <w:szCs w:val="18"/>
        </w:rPr>
        <w:t>总统</w:t>
      </w:r>
      <w:r w:rsidR="00F96513">
        <w:rPr>
          <w:rFonts w:hAnsi="宋体" w:hint="eastAsia"/>
          <w:color w:val="000000"/>
          <w:sz w:val="18"/>
          <w:szCs w:val="18"/>
        </w:rPr>
        <w:t>邀请</w:t>
      </w:r>
      <w:r w:rsidR="00CF6EFE">
        <w:rPr>
          <w:rFonts w:hAnsi="宋体" w:hint="eastAsia"/>
          <w:color w:val="000000"/>
          <w:sz w:val="18"/>
          <w:szCs w:val="18"/>
        </w:rPr>
        <w:t>，</w:t>
      </w:r>
      <w:r w:rsidR="00363B57">
        <w:rPr>
          <w:rFonts w:hAnsi="宋体" w:hint="eastAsia"/>
          <w:color w:val="000000"/>
          <w:sz w:val="18"/>
          <w:szCs w:val="18"/>
        </w:rPr>
        <w:t>在</w:t>
      </w:r>
      <w:r w:rsidR="009E206B" w:rsidRPr="009E206B">
        <w:rPr>
          <w:rFonts w:hAnsi="宋体"/>
          <w:color w:val="000000"/>
          <w:sz w:val="18"/>
          <w:szCs w:val="18"/>
        </w:rPr>
        <w:t>塔什干国立法律大学</w:t>
      </w:r>
      <w:r w:rsidR="00CF6EFE">
        <w:rPr>
          <w:rFonts w:hAnsi="宋体" w:hint="eastAsia"/>
          <w:color w:val="000000"/>
          <w:sz w:val="18"/>
          <w:szCs w:val="18"/>
        </w:rPr>
        <w:t>开展</w:t>
      </w:r>
      <w:r w:rsidR="00FF6734">
        <w:rPr>
          <w:rFonts w:hAnsi="宋体" w:hint="eastAsia"/>
          <w:color w:val="000000"/>
          <w:sz w:val="18"/>
          <w:szCs w:val="18"/>
        </w:rPr>
        <w:t>了</w:t>
      </w:r>
      <w:r w:rsidR="00363B57">
        <w:rPr>
          <w:rFonts w:hAnsi="宋体" w:hint="eastAsia"/>
          <w:color w:val="000000"/>
          <w:sz w:val="18"/>
          <w:szCs w:val="18"/>
        </w:rPr>
        <w:t>日本</w:t>
      </w:r>
      <w:r w:rsidR="009A2A74">
        <w:rPr>
          <w:rFonts w:hAnsi="宋体" w:hint="eastAsia"/>
          <w:color w:val="000000"/>
          <w:sz w:val="18"/>
          <w:szCs w:val="18"/>
        </w:rPr>
        <w:t>医疗诉讼</w:t>
      </w:r>
      <w:r w:rsidR="00CF6EFE">
        <w:rPr>
          <w:rFonts w:hAnsi="宋体" w:hint="eastAsia"/>
          <w:color w:val="000000"/>
          <w:sz w:val="18"/>
          <w:szCs w:val="18"/>
        </w:rPr>
        <w:t>的</w:t>
      </w:r>
      <w:r w:rsidR="00363B57">
        <w:rPr>
          <w:rFonts w:hAnsi="宋体" w:hint="eastAsia"/>
          <w:color w:val="000000"/>
          <w:sz w:val="18"/>
          <w:szCs w:val="18"/>
        </w:rPr>
        <w:t>专题讲座。</w:t>
      </w:r>
    </w:p>
    <w:p w14:paraId="35603894" w14:textId="77777777" w:rsidR="00651FC5" w:rsidRDefault="00000000">
      <w:pPr>
        <w:spacing w:before="100" w:beforeAutospacing="1" w:after="100" w:afterAutospacing="1"/>
        <w:rPr>
          <w:rFonts w:hAnsi="宋体" w:hint="eastAsia"/>
          <w:b/>
          <w:bCs/>
          <w:color w:val="000080"/>
          <w:sz w:val="24"/>
          <w:szCs w:val="24"/>
        </w:rPr>
      </w:pPr>
      <w:bookmarkStart w:id="0" w:name="OLE_LINK5"/>
      <w:bookmarkStart w:id="1" w:name="OLE_LINK4"/>
      <w:bookmarkStart w:id="2" w:name="OLE_LINK2"/>
      <w:bookmarkStart w:id="3" w:name="OLE_LINK1"/>
      <w:r>
        <w:rPr>
          <w:rFonts w:hAnsi="宋体"/>
          <w:b/>
          <w:bCs/>
          <w:color w:val="000080"/>
          <w:sz w:val="24"/>
          <w:szCs w:val="24"/>
        </w:rPr>
        <w:t>Profile</w:t>
      </w:r>
      <w:bookmarkEnd w:id="0"/>
      <w:bookmarkEnd w:id="1"/>
    </w:p>
    <w:bookmarkEnd w:id="2"/>
    <w:bookmarkEnd w:id="3"/>
    <w:p w14:paraId="35603895" w14:textId="5EEF5D15" w:rsidR="00651FC5" w:rsidRPr="00A8567D" w:rsidRDefault="004146AA">
      <w:pPr>
        <w:spacing w:after="160" w:line="276" w:lineRule="auto"/>
        <w:ind w:firstLineChars="200" w:firstLine="360"/>
        <w:rPr>
          <w:color w:val="000000"/>
          <w:sz w:val="18"/>
          <w:szCs w:val="18"/>
        </w:rPr>
      </w:pPr>
      <w:r w:rsidRPr="004146AA">
        <w:rPr>
          <w:color w:val="000000"/>
          <w:sz w:val="18"/>
          <w:szCs w:val="18"/>
        </w:rPr>
        <w:t>CHO Zuiki,</w:t>
      </w:r>
      <w:r w:rsidR="00971889" w:rsidRPr="00971889">
        <w:t xml:space="preserve"> </w:t>
      </w:r>
      <w:r w:rsidR="00971889" w:rsidRPr="00971889">
        <w:rPr>
          <w:color w:val="000000"/>
          <w:sz w:val="18"/>
          <w:szCs w:val="18"/>
        </w:rPr>
        <w:t>Professor</w:t>
      </w:r>
      <w:r w:rsidR="002E565B" w:rsidRPr="002E565B">
        <w:rPr>
          <w:rFonts w:hint="eastAsia"/>
          <w:color w:val="000000"/>
          <w:sz w:val="18"/>
          <w:szCs w:val="18"/>
        </w:rPr>
        <w:t>,</w:t>
      </w:r>
      <w:r w:rsidR="00971889" w:rsidRPr="00971889">
        <w:rPr>
          <w:color w:val="000000"/>
          <w:sz w:val="18"/>
          <w:szCs w:val="18"/>
        </w:rPr>
        <w:t xml:space="preserve"> obtained his Ph.D. in Law from Nagoya University</w:t>
      </w:r>
      <w:r w:rsidR="002E565B">
        <w:rPr>
          <w:rFonts w:hint="eastAsia"/>
          <w:color w:val="000000"/>
          <w:sz w:val="18"/>
          <w:szCs w:val="18"/>
        </w:rPr>
        <w:t xml:space="preserve">, </w:t>
      </w:r>
      <w:r w:rsidR="00971889" w:rsidRPr="00971889">
        <w:rPr>
          <w:color w:val="000000"/>
          <w:sz w:val="18"/>
          <w:szCs w:val="18"/>
        </w:rPr>
        <w:t>Japan</w:t>
      </w:r>
      <w:r w:rsidR="002E565B">
        <w:rPr>
          <w:rFonts w:hint="eastAsia"/>
          <w:color w:val="000000"/>
          <w:sz w:val="18"/>
          <w:szCs w:val="18"/>
        </w:rPr>
        <w:t>,</w:t>
      </w:r>
      <w:r w:rsidR="00971889" w:rsidRPr="00971889">
        <w:rPr>
          <w:color w:val="000000"/>
          <w:sz w:val="18"/>
          <w:szCs w:val="18"/>
        </w:rPr>
        <w:t xml:space="preserve"> in 2013. He is currently a faculty member at the School of Law, Nagoya University of Economics, and serves as a doctoral supervisor. Professor Cho has been a visiting scholar at the National Taiwan University College of Law, the Asian Law Center at the University of Washington, and the Faculty of Law at the University of Konstanz. He is fluent in Japanese and Chinese, and proficient in English and German. His research interests include civil procedure law, medical law, and Asian legal studies. Since 2015, he has been teaching Japanese civil procedure law. To date, he has published nearly 20 papers in various academic journals and has participated in several research projects funded by the Japan Society for the Promotion of Science. In 2023, at the invitation of the President of Uzbekistan, he delivered a special lecture on Japanese medical litigation at Tashkent State University of Law.</w:t>
      </w:r>
    </w:p>
    <w:tbl>
      <w:tblPr>
        <w:tblpPr w:leftFromText="180" w:rightFromText="180" w:vertAnchor="text" w:horzAnchor="margin" w:tblpX="74" w:tblpY="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4678"/>
      </w:tblGrid>
      <w:tr w:rsidR="00651FC5" w14:paraId="35603898" w14:textId="77777777">
        <w:trPr>
          <w:trHeight w:val="472"/>
        </w:trPr>
        <w:tc>
          <w:tcPr>
            <w:tcW w:w="3686" w:type="dxa"/>
            <w:shd w:val="clear" w:color="auto" w:fill="B8CCE4"/>
            <w:vAlign w:val="center"/>
          </w:tcPr>
          <w:p w14:paraId="35603896" w14:textId="77777777" w:rsidR="00651FC5" w:rsidRDefault="00000000">
            <w:pPr>
              <w:spacing w:after="160"/>
              <w:rPr>
                <w:b/>
                <w:bCs/>
                <w:color w:val="1F497D"/>
                <w:sz w:val="15"/>
                <w:szCs w:val="15"/>
              </w:rPr>
            </w:pPr>
            <w:r>
              <w:rPr>
                <w:rFonts w:hAnsi="宋体"/>
                <w:b/>
                <w:bCs/>
                <w:color w:val="1F497D"/>
                <w:sz w:val="15"/>
                <w:szCs w:val="15"/>
              </w:rPr>
              <w:t>院系</w:t>
            </w:r>
            <w:r>
              <w:rPr>
                <w:b/>
                <w:bCs/>
                <w:color w:val="1F497D"/>
                <w:sz w:val="15"/>
                <w:szCs w:val="15"/>
              </w:rPr>
              <w:t xml:space="preserve"> </w:t>
            </w:r>
            <w:r>
              <w:rPr>
                <w:rFonts w:hint="eastAsia"/>
                <w:b/>
                <w:bCs/>
                <w:color w:val="1F497D"/>
                <w:sz w:val="15"/>
                <w:szCs w:val="15"/>
              </w:rPr>
              <w:t xml:space="preserve"> </w:t>
            </w:r>
            <w:r>
              <w:rPr>
                <w:b/>
                <w:bCs/>
                <w:color w:val="1F497D"/>
                <w:sz w:val="15"/>
                <w:szCs w:val="15"/>
              </w:rPr>
              <w:t>School</w:t>
            </w:r>
          </w:p>
        </w:tc>
        <w:tc>
          <w:tcPr>
            <w:tcW w:w="4678" w:type="dxa"/>
            <w:vAlign w:val="center"/>
          </w:tcPr>
          <w:p w14:paraId="35603897" w14:textId="4D7372B7" w:rsidR="00651FC5" w:rsidRDefault="006C31C3">
            <w:pPr>
              <w:spacing w:after="160"/>
              <w:rPr>
                <w:color w:val="000000"/>
                <w:sz w:val="15"/>
                <w:szCs w:val="15"/>
              </w:rPr>
            </w:pPr>
            <w:r>
              <w:rPr>
                <w:rFonts w:hAnsi="宋体" w:hint="eastAsia"/>
                <w:color w:val="000000"/>
                <w:sz w:val="15"/>
                <w:szCs w:val="15"/>
              </w:rPr>
              <w:t>法律</w:t>
            </w:r>
            <w:r w:rsidR="00FF001E">
              <w:rPr>
                <w:rFonts w:hAnsi="宋体" w:hint="eastAsia"/>
                <w:color w:val="000000"/>
                <w:sz w:val="15"/>
                <w:szCs w:val="15"/>
              </w:rPr>
              <w:t>学院</w:t>
            </w:r>
            <w:r>
              <w:rPr>
                <w:color w:val="000000"/>
                <w:sz w:val="15"/>
                <w:szCs w:val="15"/>
              </w:rPr>
              <w:t xml:space="preserve"> </w:t>
            </w:r>
            <w:r>
              <w:rPr>
                <w:rFonts w:hAnsi="宋体"/>
                <w:color w:val="000000"/>
                <w:sz w:val="15"/>
                <w:szCs w:val="15"/>
              </w:rPr>
              <w:t xml:space="preserve">School of </w:t>
            </w:r>
            <w:r w:rsidR="00FF001E">
              <w:rPr>
                <w:rFonts w:hAnsi="宋体" w:hint="eastAsia"/>
                <w:color w:val="000000"/>
                <w:sz w:val="15"/>
                <w:szCs w:val="15"/>
              </w:rPr>
              <w:t>Law</w:t>
            </w:r>
          </w:p>
        </w:tc>
      </w:tr>
      <w:tr w:rsidR="00651FC5" w14:paraId="3560389B" w14:textId="77777777">
        <w:trPr>
          <w:trHeight w:val="472"/>
        </w:trPr>
        <w:tc>
          <w:tcPr>
            <w:tcW w:w="3686" w:type="dxa"/>
            <w:shd w:val="clear" w:color="auto" w:fill="B8CCE4"/>
            <w:vAlign w:val="center"/>
          </w:tcPr>
          <w:p w14:paraId="35603899" w14:textId="77777777" w:rsidR="00651FC5" w:rsidRDefault="00000000">
            <w:pPr>
              <w:spacing w:after="160"/>
              <w:rPr>
                <w:b/>
                <w:bCs/>
                <w:color w:val="1F497D"/>
                <w:sz w:val="15"/>
                <w:szCs w:val="15"/>
              </w:rPr>
            </w:pPr>
            <w:r>
              <w:rPr>
                <w:rFonts w:hAnsi="宋体"/>
                <w:b/>
                <w:bCs/>
                <w:color w:val="1F497D"/>
                <w:sz w:val="15"/>
                <w:szCs w:val="15"/>
              </w:rPr>
              <w:t>学科门类</w:t>
            </w:r>
            <w:r>
              <w:rPr>
                <w:b/>
                <w:bCs/>
                <w:color w:val="1F497D"/>
                <w:sz w:val="15"/>
                <w:szCs w:val="15"/>
              </w:rPr>
              <w:t xml:space="preserve"> Fields of Study</w:t>
            </w:r>
          </w:p>
        </w:tc>
        <w:tc>
          <w:tcPr>
            <w:tcW w:w="4678" w:type="dxa"/>
            <w:vAlign w:val="center"/>
          </w:tcPr>
          <w:p w14:paraId="3560389A" w14:textId="548DC842" w:rsidR="00651FC5" w:rsidRDefault="00BB04F0">
            <w:pPr>
              <w:spacing w:after="160"/>
              <w:rPr>
                <w:color w:val="000000"/>
                <w:sz w:val="15"/>
                <w:szCs w:val="15"/>
              </w:rPr>
            </w:pPr>
            <w:r>
              <w:rPr>
                <w:rFonts w:hAnsi="宋体" w:hint="eastAsia"/>
                <w:color w:val="000000"/>
                <w:sz w:val="15"/>
                <w:szCs w:val="15"/>
              </w:rPr>
              <w:t>法学</w:t>
            </w:r>
            <w:r>
              <w:rPr>
                <w:color w:val="000000"/>
                <w:sz w:val="15"/>
                <w:szCs w:val="15"/>
              </w:rPr>
              <w:t xml:space="preserve"> </w:t>
            </w:r>
            <w:r>
              <w:rPr>
                <w:rFonts w:hint="eastAsia"/>
                <w:color w:val="000000"/>
                <w:sz w:val="15"/>
                <w:szCs w:val="15"/>
              </w:rPr>
              <w:t>law</w:t>
            </w:r>
          </w:p>
        </w:tc>
      </w:tr>
      <w:tr w:rsidR="00651FC5" w14:paraId="3560389E" w14:textId="77777777">
        <w:trPr>
          <w:trHeight w:val="472"/>
        </w:trPr>
        <w:tc>
          <w:tcPr>
            <w:tcW w:w="3686" w:type="dxa"/>
            <w:shd w:val="clear" w:color="auto" w:fill="B8CCE4"/>
            <w:vAlign w:val="center"/>
          </w:tcPr>
          <w:p w14:paraId="3560389C" w14:textId="77777777" w:rsidR="00651FC5" w:rsidRDefault="00000000">
            <w:pPr>
              <w:spacing w:after="160"/>
              <w:rPr>
                <w:b/>
                <w:bCs/>
                <w:color w:val="1F497D"/>
                <w:sz w:val="15"/>
                <w:szCs w:val="15"/>
              </w:rPr>
            </w:pPr>
            <w:r>
              <w:rPr>
                <w:rFonts w:hAnsi="宋体"/>
                <w:b/>
                <w:bCs/>
                <w:color w:val="1F497D"/>
                <w:sz w:val="15"/>
                <w:szCs w:val="15"/>
              </w:rPr>
              <w:t>所属一级学科名称</w:t>
            </w:r>
            <w:r>
              <w:rPr>
                <w:b/>
                <w:bCs/>
                <w:color w:val="1F497D"/>
                <w:sz w:val="15"/>
                <w:szCs w:val="15"/>
              </w:rPr>
              <w:t xml:space="preserve"> Disciplines</w:t>
            </w:r>
          </w:p>
        </w:tc>
        <w:tc>
          <w:tcPr>
            <w:tcW w:w="4678" w:type="dxa"/>
            <w:vAlign w:val="center"/>
          </w:tcPr>
          <w:p w14:paraId="3560389D" w14:textId="292BA97A" w:rsidR="00651FC5" w:rsidRDefault="00BB04F0">
            <w:pPr>
              <w:spacing w:after="160"/>
              <w:rPr>
                <w:color w:val="000000"/>
                <w:sz w:val="15"/>
                <w:szCs w:val="15"/>
              </w:rPr>
            </w:pPr>
            <w:r>
              <w:rPr>
                <w:rFonts w:hAnsi="宋体" w:hint="eastAsia"/>
                <w:color w:val="000000"/>
                <w:sz w:val="15"/>
                <w:szCs w:val="15"/>
              </w:rPr>
              <w:t>法学</w:t>
            </w:r>
            <w:r>
              <w:rPr>
                <w:color w:val="000000"/>
                <w:sz w:val="15"/>
                <w:szCs w:val="15"/>
              </w:rPr>
              <w:t xml:space="preserve"> </w:t>
            </w:r>
            <w:r>
              <w:rPr>
                <w:rFonts w:hint="eastAsia"/>
                <w:color w:val="000000"/>
                <w:sz w:val="15"/>
                <w:szCs w:val="15"/>
              </w:rPr>
              <w:t>law</w:t>
            </w:r>
          </w:p>
        </w:tc>
      </w:tr>
      <w:tr w:rsidR="00651FC5" w14:paraId="356038A1" w14:textId="77777777">
        <w:trPr>
          <w:trHeight w:val="472"/>
        </w:trPr>
        <w:tc>
          <w:tcPr>
            <w:tcW w:w="3686" w:type="dxa"/>
            <w:shd w:val="clear" w:color="auto" w:fill="B8CCE4"/>
            <w:vAlign w:val="center"/>
          </w:tcPr>
          <w:p w14:paraId="3560389F" w14:textId="77777777" w:rsidR="00651FC5" w:rsidRDefault="00000000">
            <w:pPr>
              <w:spacing w:after="160"/>
              <w:rPr>
                <w:b/>
                <w:bCs/>
                <w:color w:val="1F497D"/>
                <w:sz w:val="15"/>
                <w:szCs w:val="15"/>
              </w:rPr>
            </w:pPr>
            <w:r>
              <w:rPr>
                <w:rFonts w:hAnsi="宋体"/>
                <w:b/>
                <w:bCs/>
                <w:color w:val="1F497D"/>
                <w:sz w:val="15"/>
                <w:szCs w:val="15"/>
              </w:rPr>
              <w:t>所属二级学科名称</w:t>
            </w:r>
            <w:r>
              <w:rPr>
                <w:b/>
                <w:bCs/>
                <w:color w:val="1F497D"/>
                <w:sz w:val="15"/>
                <w:szCs w:val="15"/>
              </w:rPr>
              <w:t xml:space="preserve"> Sub-Disciplines</w:t>
            </w:r>
          </w:p>
        </w:tc>
        <w:tc>
          <w:tcPr>
            <w:tcW w:w="4678" w:type="dxa"/>
            <w:vAlign w:val="center"/>
          </w:tcPr>
          <w:p w14:paraId="356038A0" w14:textId="34930370" w:rsidR="00651FC5" w:rsidRDefault="007E7EC1">
            <w:pPr>
              <w:spacing w:after="160"/>
              <w:rPr>
                <w:color w:val="000000"/>
                <w:sz w:val="15"/>
                <w:szCs w:val="15"/>
              </w:rPr>
            </w:pPr>
            <w:r>
              <w:rPr>
                <w:rFonts w:hAnsi="宋体" w:hint="eastAsia"/>
                <w:color w:val="000000"/>
                <w:sz w:val="15"/>
                <w:szCs w:val="15"/>
              </w:rPr>
              <w:t>诉讼法学</w:t>
            </w:r>
            <w:r w:rsidR="0044734B">
              <w:rPr>
                <w:color w:val="000000"/>
                <w:sz w:val="15"/>
                <w:szCs w:val="15"/>
              </w:rPr>
              <w:t xml:space="preserve"> </w:t>
            </w:r>
            <w:r w:rsidR="0044734B" w:rsidRPr="0044734B">
              <w:rPr>
                <w:color w:val="000000"/>
                <w:sz w:val="15"/>
                <w:szCs w:val="15"/>
              </w:rPr>
              <w:t>Litigation Law</w:t>
            </w:r>
          </w:p>
        </w:tc>
      </w:tr>
      <w:tr w:rsidR="00651FC5" w14:paraId="356038A4" w14:textId="77777777">
        <w:trPr>
          <w:trHeight w:val="472"/>
        </w:trPr>
        <w:tc>
          <w:tcPr>
            <w:tcW w:w="3686" w:type="dxa"/>
            <w:shd w:val="clear" w:color="auto" w:fill="B8CCE4"/>
            <w:vAlign w:val="center"/>
          </w:tcPr>
          <w:p w14:paraId="356038A2" w14:textId="77777777" w:rsidR="00651FC5" w:rsidRDefault="00000000">
            <w:pPr>
              <w:spacing w:after="160"/>
              <w:rPr>
                <w:rFonts w:hAnsi="宋体" w:hint="eastAsia"/>
                <w:b/>
                <w:bCs/>
                <w:color w:val="1F497D"/>
                <w:sz w:val="15"/>
                <w:szCs w:val="15"/>
              </w:rPr>
            </w:pPr>
            <w:r>
              <w:rPr>
                <w:rFonts w:hAnsi="宋体" w:hint="eastAsia"/>
                <w:b/>
                <w:bCs/>
                <w:color w:val="1F497D"/>
                <w:sz w:val="15"/>
                <w:szCs w:val="15"/>
              </w:rPr>
              <w:t>先修课程</w:t>
            </w:r>
            <w:r>
              <w:rPr>
                <w:b/>
                <w:bCs/>
                <w:color w:val="1F497D"/>
                <w:sz w:val="15"/>
                <w:szCs w:val="15"/>
              </w:rPr>
              <w:t xml:space="preserve"> Prerequisites</w:t>
            </w:r>
          </w:p>
        </w:tc>
        <w:tc>
          <w:tcPr>
            <w:tcW w:w="4678" w:type="dxa"/>
            <w:vAlign w:val="center"/>
          </w:tcPr>
          <w:p w14:paraId="356038A3" w14:textId="072115F1" w:rsidR="00651FC5" w:rsidRDefault="00706A72">
            <w:pPr>
              <w:spacing w:after="160"/>
              <w:rPr>
                <w:rFonts w:hAnsi="宋体" w:hint="eastAsia"/>
                <w:color w:val="000000"/>
                <w:sz w:val="15"/>
                <w:szCs w:val="15"/>
              </w:rPr>
            </w:pPr>
            <w:r>
              <w:rPr>
                <w:rFonts w:hint="eastAsia"/>
                <w:color w:val="000000"/>
                <w:sz w:val="15"/>
                <w:szCs w:val="15"/>
              </w:rPr>
              <w:t>中国民事诉讼法</w:t>
            </w:r>
            <w:r w:rsidR="006C31C3">
              <w:rPr>
                <w:rFonts w:hint="eastAsia"/>
                <w:color w:val="000000"/>
                <w:sz w:val="15"/>
                <w:szCs w:val="15"/>
                <w:lang w:val="de-DE"/>
              </w:rPr>
              <w:t xml:space="preserve"> </w:t>
            </w:r>
            <w:r w:rsidR="009B10C1" w:rsidRPr="009B10C1">
              <w:rPr>
                <w:color w:val="000000"/>
                <w:sz w:val="15"/>
                <w:szCs w:val="15"/>
              </w:rPr>
              <w:t>Chinese Civil Procedure Law</w:t>
            </w:r>
          </w:p>
        </w:tc>
      </w:tr>
      <w:tr w:rsidR="00651FC5" w14:paraId="356038A7" w14:textId="77777777">
        <w:trPr>
          <w:trHeight w:val="472"/>
        </w:trPr>
        <w:tc>
          <w:tcPr>
            <w:tcW w:w="3686" w:type="dxa"/>
            <w:shd w:val="clear" w:color="auto" w:fill="B8CCE4"/>
            <w:vAlign w:val="center"/>
          </w:tcPr>
          <w:p w14:paraId="356038A5" w14:textId="77777777" w:rsidR="00651FC5" w:rsidRDefault="00000000">
            <w:pPr>
              <w:spacing w:after="160" w:line="240" w:lineRule="exact"/>
              <w:rPr>
                <w:b/>
                <w:bCs/>
                <w:color w:val="1F497D"/>
                <w:sz w:val="15"/>
                <w:szCs w:val="15"/>
              </w:rPr>
            </w:pPr>
            <w:r>
              <w:rPr>
                <w:rFonts w:hAnsi="宋体"/>
                <w:b/>
                <w:bCs/>
                <w:color w:val="1F497D"/>
                <w:sz w:val="15"/>
                <w:szCs w:val="15"/>
              </w:rPr>
              <w:t>选课对象</w:t>
            </w:r>
            <w:r>
              <w:rPr>
                <w:b/>
                <w:bCs/>
                <w:color w:val="1F497D"/>
                <w:sz w:val="15"/>
                <w:szCs w:val="15"/>
              </w:rPr>
              <w:t xml:space="preserve"> Registration Recommendations</w:t>
            </w:r>
          </w:p>
        </w:tc>
        <w:tc>
          <w:tcPr>
            <w:tcW w:w="4678" w:type="dxa"/>
            <w:vAlign w:val="center"/>
          </w:tcPr>
          <w:p w14:paraId="356038A6" w14:textId="4CD3B84A" w:rsidR="00651FC5" w:rsidRDefault="00DE5C06" w:rsidP="00D702EC">
            <w:pPr>
              <w:snapToGrid w:val="0"/>
              <w:rPr>
                <w:color w:val="000000"/>
                <w:sz w:val="15"/>
                <w:szCs w:val="15"/>
              </w:rPr>
            </w:pPr>
            <w:r w:rsidRPr="00DE5C06">
              <w:rPr>
                <w:rFonts w:hint="eastAsia"/>
                <w:color w:val="000000"/>
                <w:sz w:val="15"/>
                <w:szCs w:val="15"/>
              </w:rPr>
              <w:t>民事诉讼法学专业硕士研究生、博士研究生等</w:t>
            </w:r>
            <w:r w:rsidRPr="00DE5C06">
              <w:rPr>
                <w:rFonts w:hint="eastAsia"/>
                <w:color w:val="000000"/>
                <w:sz w:val="15"/>
                <w:szCs w:val="15"/>
              </w:rPr>
              <w:t xml:space="preserve"> </w:t>
            </w:r>
            <w:r w:rsidR="00A210C4" w:rsidRPr="00A210C4">
              <w:rPr>
                <w:rFonts w:hAnsi="宋体"/>
                <w:color w:val="000000"/>
                <w:sz w:val="15"/>
                <w:szCs w:val="15"/>
              </w:rPr>
              <w:t>Master and doctoral students in civil procedure law</w:t>
            </w:r>
            <w:r w:rsidR="00C855AA">
              <w:rPr>
                <w:rFonts w:hAnsi="宋体" w:hint="eastAsia"/>
                <w:color w:val="000000"/>
                <w:sz w:val="15"/>
                <w:szCs w:val="15"/>
              </w:rPr>
              <w:t>, etc.</w:t>
            </w:r>
          </w:p>
        </w:tc>
      </w:tr>
      <w:tr w:rsidR="00651FC5" w14:paraId="356038AA" w14:textId="77777777">
        <w:trPr>
          <w:trHeight w:val="472"/>
        </w:trPr>
        <w:tc>
          <w:tcPr>
            <w:tcW w:w="3686" w:type="dxa"/>
            <w:shd w:val="clear" w:color="auto" w:fill="B8CCE4"/>
            <w:vAlign w:val="center"/>
          </w:tcPr>
          <w:p w14:paraId="356038A8" w14:textId="77777777" w:rsidR="00651FC5" w:rsidRDefault="00000000">
            <w:pPr>
              <w:spacing w:after="160" w:line="240" w:lineRule="exact"/>
              <w:rPr>
                <w:rFonts w:hAnsi="宋体" w:hint="eastAsia"/>
                <w:b/>
                <w:bCs/>
                <w:color w:val="1F497D"/>
                <w:sz w:val="15"/>
                <w:szCs w:val="15"/>
              </w:rPr>
            </w:pPr>
            <w:r>
              <w:rPr>
                <w:rFonts w:hAnsi="宋体"/>
                <w:b/>
                <w:bCs/>
                <w:color w:val="1F497D"/>
                <w:sz w:val="15"/>
                <w:szCs w:val="15"/>
              </w:rPr>
              <w:t>课时与学分</w:t>
            </w:r>
            <w:r>
              <w:rPr>
                <w:rFonts w:hAnsi="宋体"/>
                <w:b/>
                <w:bCs/>
                <w:color w:val="1F497D"/>
                <w:sz w:val="15"/>
                <w:szCs w:val="15"/>
              </w:rPr>
              <w:t xml:space="preserve"> Lecture Hours &amp; Credits</w:t>
            </w:r>
          </w:p>
        </w:tc>
        <w:tc>
          <w:tcPr>
            <w:tcW w:w="4678" w:type="dxa"/>
            <w:vAlign w:val="center"/>
          </w:tcPr>
          <w:p w14:paraId="356038A9" w14:textId="76E7AA1B" w:rsidR="00651FC5" w:rsidRDefault="00B25FFA" w:rsidP="00B25FFA">
            <w:pPr>
              <w:spacing w:after="160"/>
              <w:rPr>
                <w:rFonts w:hAnsi="宋体" w:hint="eastAsia"/>
                <w:b/>
                <w:bCs/>
                <w:color w:val="000000"/>
                <w:sz w:val="15"/>
                <w:szCs w:val="15"/>
              </w:rPr>
            </w:pPr>
            <w:r w:rsidRPr="00B25FFA">
              <w:rPr>
                <w:rFonts w:hint="eastAsia"/>
                <w:color w:val="000000"/>
                <w:sz w:val="15"/>
                <w:szCs w:val="15"/>
              </w:rPr>
              <w:t>3</w:t>
            </w:r>
            <w:r w:rsidR="00893958">
              <w:rPr>
                <w:rFonts w:hint="eastAsia"/>
                <w:color w:val="000000"/>
                <w:sz w:val="15"/>
                <w:szCs w:val="15"/>
              </w:rPr>
              <w:t>6</w:t>
            </w:r>
            <w:r w:rsidRPr="00B25FFA">
              <w:rPr>
                <w:rFonts w:hint="eastAsia"/>
                <w:color w:val="000000"/>
                <w:sz w:val="15"/>
                <w:szCs w:val="15"/>
              </w:rPr>
              <w:t>课时</w:t>
            </w:r>
            <w:r w:rsidRPr="00B25FFA">
              <w:rPr>
                <w:rFonts w:hint="eastAsia"/>
                <w:color w:val="000000"/>
                <w:sz w:val="15"/>
                <w:szCs w:val="15"/>
              </w:rPr>
              <w:t>;</w:t>
            </w:r>
            <w:r w:rsidR="00B2777B">
              <w:rPr>
                <w:rFonts w:hint="eastAsia"/>
                <w:color w:val="000000"/>
                <w:sz w:val="15"/>
                <w:szCs w:val="15"/>
              </w:rPr>
              <w:t xml:space="preserve"> </w:t>
            </w:r>
            <w:r w:rsidRPr="00B25FFA">
              <w:rPr>
                <w:rFonts w:hint="eastAsia"/>
                <w:color w:val="000000"/>
                <w:sz w:val="15"/>
                <w:szCs w:val="15"/>
              </w:rPr>
              <w:t>2</w:t>
            </w:r>
            <w:r w:rsidRPr="00B25FFA">
              <w:rPr>
                <w:rFonts w:hint="eastAsia"/>
                <w:color w:val="000000"/>
                <w:sz w:val="15"/>
                <w:szCs w:val="15"/>
              </w:rPr>
              <w:t>学分</w:t>
            </w:r>
            <w:r w:rsidRPr="00B25FFA">
              <w:rPr>
                <w:rFonts w:hint="eastAsia"/>
                <w:color w:val="000000"/>
                <w:sz w:val="15"/>
                <w:szCs w:val="15"/>
              </w:rPr>
              <w:t xml:space="preserve"> </w:t>
            </w:r>
            <w:r>
              <w:rPr>
                <w:rFonts w:hint="eastAsia"/>
                <w:color w:val="000000"/>
                <w:sz w:val="15"/>
                <w:szCs w:val="15"/>
              </w:rPr>
              <w:t>3</w:t>
            </w:r>
            <w:r w:rsidR="00C754B5">
              <w:rPr>
                <w:rFonts w:hint="eastAsia"/>
                <w:color w:val="000000"/>
                <w:sz w:val="15"/>
                <w:szCs w:val="15"/>
              </w:rPr>
              <w:t>6</w:t>
            </w:r>
            <w:r w:rsidR="00202274">
              <w:rPr>
                <w:rFonts w:hint="eastAsia"/>
                <w:color w:val="000000"/>
                <w:sz w:val="15"/>
                <w:szCs w:val="15"/>
              </w:rPr>
              <w:t xml:space="preserve"> </w:t>
            </w:r>
            <w:r>
              <w:rPr>
                <w:color w:val="000000"/>
                <w:sz w:val="15"/>
                <w:szCs w:val="15"/>
              </w:rPr>
              <w:t>Lecture Hours</w:t>
            </w:r>
            <w:r>
              <w:rPr>
                <w:rFonts w:hint="eastAsia"/>
                <w:color w:val="000000"/>
                <w:sz w:val="15"/>
                <w:szCs w:val="15"/>
              </w:rPr>
              <w:t xml:space="preserve">; </w:t>
            </w:r>
            <w:r w:rsidR="00B2777B">
              <w:rPr>
                <w:rFonts w:hint="eastAsia"/>
                <w:color w:val="000000"/>
                <w:sz w:val="15"/>
                <w:szCs w:val="15"/>
              </w:rPr>
              <w:t>2</w:t>
            </w:r>
            <w:r>
              <w:rPr>
                <w:rFonts w:hint="eastAsia"/>
                <w:color w:val="000000"/>
                <w:sz w:val="15"/>
                <w:szCs w:val="15"/>
              </w:rPr>
              <w:t xml:space="preserve"> </w:t>
            </w:r>
            <w:r>
              <w:rPr>
                <w:color w:val="000000"/>
                <w:sz w:val="15"/>
                <w:szCs w:val="15"/>
              </w:rPr>
              <w:t>Credits</w:t>
            </w:r>
          </w:p>
        </w:tc>
      </w:tr>
      <w:tr w:rsidR="00651FC5" w14:paraId="356038AD" w14:textId="77777777">
        <w:trPr>
          <w:trHeight w:val="472"/>
        </w:trPr>
        <w:tc>
          <w:tcPr>
            <w:tcW w:w="3686" w:type="dxa"/>
            <w:shd w:val="clear" w:color="auto" w:fill="B8CCE4"/>
            <w:vAlign w:val="center"/>
          </w:tcPr>
          <w:p w14:paraId="356038AB" w14:textId="77777777" w:rsidR="00651FC5" w:rsidRDefault="00000000">
            <w:pPr>
              <w:spacing w:after="160"/>
              <w:rPr>
                <w:b/>
                <w:bCs/>
                <w:color w:val="1F497D"/>
                <w:sz w:val="15"/>
                <w:szCs w:val="15"/>
              </w:rPr>
            </w:pPr>
            <w:r>
              <w:rPr>
                <w:rFonts w:hAnsi="宋体" w:hint="eastAsia"/>
                <w:b/>
                <w:bCs/>
                <w:color w:val="1F497D"/>
                <w:sz w:val="15"/>
                <w:szCs w:val="15"/>
              </w:rPr>
              <w:t>授课语言</w:t>
            </w:r>
            <w:r>
              <w:rPr>
                <w:b/>
                <w:bCs/>
                <w:color w:val="1F497D"/>
                <w:sz w:val="15"/>
                <w:szCs w:val="15"/>
              </w:rPr>
              <w:t xml:space="preserve"> </w:t>
            </w:r>
            <w:r>
              <w:rPr>
                <w:rFonts w:hint="eastAsia"/>
                <w:b/>
                <w:bCs/>
                <w:color w:val="1F497D"/>
                <w:sz w:val="15"/>
                <w:szCs w:val="15"/>
              </w:rPr>
              <w:t>Language taught</w:t>
            </w:r>
          </w:p>
        </w:tc>
        <w:tc>
          <w:tcPr>
            <w:tcW w:w="4678" w:type="dxa"/>
            <w:vAlign w:val="center"/>
          </w:tcPr>
          <w:p w14:paraId="356038AC" w14:textId="457FB3C0" w:rsidR="00651FC5" w:rsidRDefault="00B2777B">
            <w:pPr>
              <w:spacing w:after="160"/>
              <w:rPr>
                <w:color w:val="000000"/>
                <w:sz w:val="15"/>
                <w:szCs w:val="15"/>
              </w:rPr>
            </w:pPr>
            <w:r>
              <w:rPr>
                <w:rFonts w:hint="eastAsia"/>
                <w:color w:val="000000"/>
                <w:sz w:val="15"/>
                <w:szCs w:val="15"/>
              </w:rPr>
              <w:t>中文</w:t>
            </w:r>
            <w:r>
              <w:rPr>
                <w:rFonts w:hint="eastAsia"/>
                <w:color w:val="000000"/>
                <w:sz w:val="15"/>
                <w:szCs w:val="15"/>
              </w:rPr>
              <w:t xml:space="preserve"> </w:t>
            </w:r>
            <w:r w:rsidRPr="00B2777B">
              <w:rPr>
                <w:color w:val="000000"/>
                <w:sz w:val="15"/>
                <w:szCs w:val="15"/>
              </w:rPr>
              <w:t>Chinese</w:t>
            </w:r>
          </w:p>
        </w:tc>
      </w:tr>
    </w:tbl>
    <w:p w14:paraId="356038AE" w14:textId="77777777" w:rsidR="00651FC5" w:rsidRDefault="00000000" w:rsidP="008C20EE">
      <w:pPr>
        <w:spacing w:before="100" w:beforeAutospacing="1" w:after="100" w:afterAutospacing="1"/>
        <w:rPr>
          <w:rFonts w:hAnsi="宋体" w:hint="eastAsia"/>
          <w:b/>
          <w:bCs/>
          <w:color w:val="000080"/>
          <w:sz w:val="24"/>
          <w:szCs w:val="24"/>
        </w:rPr>
      </w:pPr>
      <w:r>
        <w:rPr>
          <w:rFonts w:hAnsi="宋体" w:hint="eastAsia"/>
          <w:b/>
          <w:bCs/>
          <w:color w:val="000080"/>
          <w:sz w:val="24"/>
          <w:szCs w:val="24"/>
        </w:rPr>
        <w:t>基本信息</w:t>
      </w:r>
      <w:r>
        <w:rPr>
          <w:rFonts w:hAnsi="宋体" w:hint="eastAsia"/>
          <w:b/>
          <w:bCs/>
          <w:color w:val="000080"/>
          <w:sz w:val="24"/>
          <w:szCs w:val="24"/>
        </w:rPr>
        <w:t xml:space="preserve"> </w:t>
      </w:r>
      <w:r>
        <w:rPr>
          <w:rFonts w:hAnsi="宋体"/>
          <w:b/>
          <w:bCs/>
          <w:color w:val="000080"/>
          <w:sz w:val="24"/>
          <w:szCs w:val="24"/>
        </w:rPr>
        <w:t>Basic information</w:t>
      </w:r>
    </w:p>
    <w:p w14:paraId="356038AF" w14:textId="77777777" w:rsidR="00651FC5" w:rsidRDefault="00651FC5">
      <w:pPr>
        <w:spacing w:after="160"/>
        <w:rPr>
          <w:rFonts w:hAnsi="宋体" w:hint="eastAsia"/>
          <w:b/>
          <w:bCs/>
          <w:color w:val="000080"/>
          <w:sz w:val="28"/>
          <w:szCs w:val="28"/>
        </w:rPr>
      </w:pPr>
    </w:p>
    <w:p w14:paraId="356038B0" w14:textId="77777777" w:rsidR="00651FC5" w:rsidRDefault="00000000">
      <w:pPr>
        <w:spacing w:before="100" w:beforeAutospacing="1" w:after="100" w:afterAutospacing="1"/>
        <w:rPr>
          <w:rFonts w:hAnsi="宋体" w:hint="eastAsia"/>
          <w:b/>
          <w:bCs/>
          <w:color w:val="000080"/>
          <w:sz w:val="24"/>
          <w:szCs w:val="24"/>
        </w:rPr>
      </w:pPr>
      <w:r>
        <w:rPr>
          <w:rFonts w:hAnsi="宋体"/>
          <w:b/>
          <w:bCs/>
          <w:color w:val="000080"/>
          <w:sz w:val="28"/>
          <w:szCs w:val="28"/>
        </w:rPr>
        <w:br w:type="page"/>
      </w:r>
      <w:r>
        <w:rPr>
          <w:rFonts w:hAnsi="宋体"/>
          <w:b/>
          <w:bCs/>
          <w:color w:val="000080"/>
          <w:sz w:val="24"/>
          <w:szCs w:val="24"/>
        </w:rPr>
        <w:lastRenderedPageBreak/>
        <w:t>课程目标</w:t>
      </w:r>
    </w:p>
    <w:p w14:paraId="5CD2FBA7" w14:textId="3CE0FD5B" w:rsidR="00F2154A" w:rsidRDefault="0050099F" w:rsidP="005E0693">
      <w:pPr>
        <w:ind w:firstLineChars="200" w:firstLine="360"/>
        <w:rPr>
          <w:rFonts w:hAnsi="宋体" w:hint="eastAsia"/>
          <w:color w:val="000000"/>
          <w:sz w:val="18"/>
          <w:szCs w:val="18"/>
        </w:rPr>
      </w:pPr>
      <w:r>
        <w:rPr>
          <w:rFonts w:hAnsi="宋体" w:hint="eastAsia"/>
          <w:color w:val="000000"/>
          <w:sz w:val="18"/>
          <w:szCs w:val="18"/>
        </w:rPr>
        <w:t>该</w:t>
      </w:r>
      <w:r w:rsidR="00F2154A" w:rsidRPr="00F2154A">
        <w:rPr>
          <w:rFonts w:hAnsi="宋体"/>
          <w:color w:val="000000"/>
          <w:sz w:val="18"/>
          <w:szCs w:val="18"/>
        </w:rPr>
        <w:t>课程的教学目标是帮助学生</w:t>
      </w:r>
      <w:r w:rsidRPr="005E0693">
        <w:rPr>
          <w:rFonts w:hAnsi="宋体"/>
          <w:color w:val="000000"/>
          <w:sz w:val="18"/>
          <w:szCs w:val="18"/>
        </w:rPr>
        <w:t>掌握日本民事诉讼法的基本概念和原理，理解从起诉到判决的完整程序体系，并深入分析经典判例，最终实现对法律条文、通说及判例的全面掌握。</w:t>
      </w:r>
      <w:r w:rsidR="00F97814">
        <w:rPr>
          <w:rFonts w:hAnsi="宋体" w:hint="eastAsia"/>
          <w:color w:val="000000"/>
          <w:sz w:val="18"/>
          <w:szCs w:val="18"/>
        </w:rPr>
        <w:t>该</w:t>
      </w:r>
      <w:r w:rsidR="004C1B0F" w:rsidRPr="004C1B0F">
        <w:rPr>
          <w:rFonts w:hAnsi="宋体"/>
          <w:color w:val="000000"/>
          <w:sz w:val="18"/>
          <w:szCs w:val="18"/>
        </w:rPr>
        <w:t>课程注重理论与实践的结合，并探讨最新修法的主要议题，培养批判性思维和中日法学的跨文化比较能力。通过本课程，学生将获得扎实的日本民事诉讼法知识，并能够在未来的理论研究和法律实务中有效运用这些知识，同时增强国际化法律职业素养。</w:t>
      </w:r>
    </w:p>
    <w:p w14:paraId="356038B2" w14:textId="77777777" w:rsidR="00651FC5" w:rsidRDefault="00000000">
      <w:pPr>
        <w:spacing w:before="100" w:beforeAutospacing="1" w:after="100" w:afterAutospacing="1"/>
        <w:rPr>
          <w:b/>
          <w:bCs/>
          <w:color w:val="000080"/>
          <w:sz w:val="24"/>
          <w:szCs w:val="24"/>
        </w:rPr>
      </w:pPr>
      <w:r>
        <w:rPr>
          <w:b/>
          <w:bCs/>
          <w:color w:val="000080"/>
          <w:sz w:val="24"/>
          <w:szCs w:val="24"/>
        </w:rPr>
        <w:t>Learning Goals</w:t>
      </w:r>
    </w:p>
    <w:p w14:paraId="59807D2E" w14:textId="1C011E22" w:rsidR="003847E5" w:rsidRPr="003C6435" w:rsidRDefault="003847E5">
      <w:pPr>
        <w:spacing w:after="160"/>
        <w:ind w:firstLineChars="200" w:firstLine="360"/>
        <w:rPr>
          <w:color w:val="000000"/>
          <w:kern w:val="0"/>
          <w:sz w:val="18"/>
          <w:szCs w:val="18"/>
        </w:rPr>
      </w:pPr>
      <w:bookmarkStart w:id="4" w:name="OLE_LINK3"/>
      <w:r w:rsidRPr="003C6435">
        <w:rPr>
          <w:color w:val="000000"/>
          <w:kern w:val="0"/>
          <w:sz w:val="18"/>
          <w:szCs w:val="18"/>
        </w:rPr>
        <w:t>The objective of this course is to help students master the basic concepts and principles of Japanese civil procedure law, understand the complete procedural system from filing a lawsuit to judgment, and deeply analyze classic case law, ultimately achieving a comprehensive understanding of legal texts, prevailing doctrines, and case precedents. The course emphasizes the integration of theory and practice, while also addressing key issues in recent legal reforms. It aims to foster critical thinking and the ability to conduct cross-cultural comparisons between Japanese and Chinese legal systems. Through this course, students will gain a solid foundation in Japanese civil procedure law and be able to apply this knowledge effectively in future theoretical research and legal practice, while enhancing their international legal professionalism.</w:t>
      </w:r>
    </w:p>
    <w:bookmarkEnd w:id="4"/>
    <w:p w14:paraId="356038B4" w14:textId="77777777" w:rsidR="00651FC5" w:rsidRDefault="00000000">
      <w:pPr>
        <w:spacing w:before="100" w:beforeAutospacing="1" w:after="100" w:afterAutospacing="1"/>
        <w:rPr>
          <w:rFonts w:ascii="仿宋_GB2312" w:eastAsia="仿宋_GB2312" w:hAnsi="宋体" w:cs="宋体" w:hint="eastAsia"/>
          <w:kern w:val="0"/>
          <w:sz w:val="24"/>
          <w:szCs w:val="24"/>
        </w:rPr>
      </w:pPr>
      <w:r>
        <w:rPr>
          <w:rFonts w:hAnsi="宋体" w:hint="eastAsia"/>
          <w:b/>
          <w:bCs/>
          <w:color w:val="000080"/>
          <w:sz w:val="24"/>
          <w:szCs w:val="24"/>
        </w:rPr>
        <w:t>课程内容</w:t>
      </w:r>
    </w:p>
    <w:p w14:paraId="07D6E4C0" w14:textId="7A51DA05" w:rsidR="00BB4BBB" w:rsidRPr="007B0A0A" w:rsidRDefault="007C1FD9">
      <w:pPr>
        <w:ind w:firstLineChars="200" w:firstLine="360"/>
        <w:rPr>
          <w:rFonts w:asciiTheme="minorEastAsia" w:eastAsiaTheme="minorEastAsia" w:hAnsiTheme="minorEastAsia" w:hint="eastAsia"/>
          <w:color w:val="FF0000"/>
          <w:sz w:val="18"/>
          <w:szCs w:val="18"/>
          <w:lang w:val="de-DE" w:eastAsia="ja-JP"/>
        </w:rPr>
      </w:pPr>
      <w:r w:rsidRPr="007B0A0A">
        <w:rPr>
          <w:rFonts w:asciiTheme="minorEastAsia" w:eastAsiaTheme="minorEastAsia" w:hAnsiTheme="minorEastAsia" w:hint="eastAsia"/>
          <w:color w:val="000000"/>
          <w:sz w:val="18"/>
          <w:szCs w:val="18"/>
        </w:rPr>
        <w:t>该课程</w:t>
      </w:r>
      <w:r w:rsidR="00627293" w:rsidRPr="007B0A0A">
        <w:rPr>
          <w:rFonts w:asciiTheme="minorEastAsia" w:eastAsiaTheme="minorEastAsia" w:hAnsiTheme="minorEastAsia" w:hint="eastAsia"/>
          <w:color w:val="000000"/>
          <w:sz w:val="18"/>
          <w:szCs w:val="18"/>
        </w:rPr>
        <w:t>共分为</w:t>
      </w:r>
      <w:r w:rsidR="00503095" w:rsidRPr="007B0A0A">
        <w:rPr>
          <w:rFonts w:asciiTheme="minorEastAsia" w:eastAsiaTheme="minorEastAsia" w:hAnsiTheme="minorEastAsia" w:hint="eastAsia"/>
          <w:color w:val="000000"/>
          <w:sz w:val="18"/>
          <w:szCs w:val="18"/>
        </w:rPr>
        <w:t>16</w:t>
      </w:r>
      <w:r w:rsidR="00D8140A" w:rsidRPr="007B0A0A">
        <w:rPr>
          <w:rFonts w:asciiTheme="minorEastAsia" w:eastAsiaTheme="minorEastAsia" w:hAnsiTheme="minorEastAsia" w:hint="eastAsia"/>
          <w:color w:val="000000"/>
          <w:sz w:val="18"/>
          <w:szCs w:val="18"/>
        </w:rPr>
        <w:t>个模块分别讲授。</w:t>
      </w:r>
      <w:r w:rsidR="004E24E0" w:rsidRPr="007B0A0A">
        <w:rPr>
          <w:rFonts w:asciiTheme="minorEastAsia" w:eastAsiaTheme="minorEastAsia" w:hAnsiTheme="minorEastAsia" w:hint="eastAsia"/>
          <w:color w:val="000000"/>
          <w:sz w:val="18"/>
          <w:szCs w:val="18"/>
          <w:lang w:eastAsia="ja-JP"/>
        </w:rPr>
        <w:t>模块</w:t>
      </w:r>
      <w:r w:rsidR="003B0316" w:rsidRPr="007B0A0A">
        <w:rPr>
          <w:rFonts w:asciiTheme="minorEastAsia" w:eastAsiaTheme="minorEastAsia" w:hAnsiTheme="minorEastAsia" w:hint="eastAsia"/>
          <w:color w:val="000000"/>
          <w:sz w:val="18"/>
          <w:szCs w:val="18"/>
          <w:lang w:eastAsia="ja-JP"/>
        </w:rPr>
        <w:t>内容</w:t>
      </w:r>
      <w:r w:rsidR="00AA0807" w:rsidRPr="007B0A0A">
        <w:rPr>
          <w:rFonts w:asciiTheme="minorEastAsia" w:eastAsiaTheme="minorEastAsia" w:hAnsiTheme="minorEastAsia" w:hint="eastAsia"/>
          <w:color w:val="000000"/>
          <w:sz w:val="18"/>
          <w:szCs w:val="18"/>
          <w:lang w:eastAsia="ja-JP"/>
        </w:rPr>
        <w:t>如下：1绪论；</w:t>
      </w:r>
      <w:r w:rsidR="000D7F5C" w:rsidRPr="007B0A0A">
        <w:rPr>
          <w:rFonts w:asciiTheme="minorEastAsia" w:eastAsiaTheme="minorEastAsia" w:hAnsiTheme="minorEastAsia" w:hint="eastAsia"/>
          <w:color w:val="000000"/>
          <w:sz w:val="18"/>
          <w:szCs w:val="18"/>
          <w:lang w:eastAsia="ja-JP"/>
        </w:rPr>
        <w:t>2</w:t>
      </w:r>
      <w:r w:rsidR="00916A98" w:rsidRPr="007B0A0A">
        <w:rPr>
          <w:rFonts w:asciiTheme="minorEastAsia" w:eastAsiaTheme="minorEastAsia" w:hAnsiTheme="minorEastAsia" w:hint="eastAsia"/>
          <w:color w:val="000000"/>
          <w:sz w:val="18"/>
          <w:szCs w:val="18"/>
          <w:lang w:eastAsia="ja-JP"/>
        </w:rPr>
        <w:t>法院</w:t>
      </w:r>
      <w:r w:rsidR="00655B5E" w:rsidRPr="007B0A0A">
        <w:rPr>
          <w:rFonts w:asciiTheme="minorEastAsia" w:eastAsiaTheme="minorEastAsia" w:hAnsiTheme="minorEastAsia" w:hint="eastAsia"/>
          <w:color w:val="000000"/>
          <w:sz w:val="18"/>
          <w:szCs w:val="18"/>
          <w:lang w:eastAsia="ja-JP"/>
        </w:rPr>
        <w:t>（管辖</w:t>
      </w:r>
      <w:r w:rsidR="00F1264E" w:rsidRPr="007B0A0A">
        <w:rPr>
          <w:rFonts w:asciiTheme="minorEastAsia" w:eastAsiaTheme="minorEastAsia" w:hAnsiTheme="minorEastAsia" w:hint="eastAsia"/>
          <w:color w:val="000000"/>
          <w:sz w:val="18"/>
          <w:szCs w:val="18"/>
          <w:lang w:eastAsia="ja-JP"/>
        </w:rPr>
        <w:t>，</w:t>
      </w:r>
      <w:r w:rsidR="00F810B2" w:rsidRPr="007B0A0A">
        <w:rPr>
          <w:rFonts w:asciiTheme="minorEastAsia" w:eastAsiaTheme="minorEastAsia" w:hAnsiTheme="minorEastAsia" w:hint="eastAsia"/>
          <w:color w:val="000000"/>
          <w:sz w:val="18"/>
          <w:szCs w:val="18"/>
          <w:lang w:eastAsia="ja-JP"/>
        </w:rPr>
        <w:t>移送，除斥</w:t>
      </w:r>
      <w:r w:rsidR="00967DC4" w:rsidRPr="007B0A0A">
        <w:rPr>
          <w:rFonts w:ascii="MS Mincho" w:eastAsia="MS Mincho" w:hAnsi="MS Mincho" w:cs="MS Mincho" w:hint="eastAsia"/>
          <w:color w:val="000000"/>
          <w:sz w:val="18"/>
          <w:szCs w:val="18"/>
          <w:lang w:eastAsia="ja-JP"/>
        </w:rPr>
        <w:t>・</w:t>
      </w:r>
      <w:r w:rsidR="00A83131" w:rsidRPr="007B0A0A">
        <w:rPr>
          <w:rFonts w:asciiTheme="minorEastAsia" w:eastAsiaTheme="minorEastAsia" w:hAnsiTheme="minorEastAsia" w:hint="eastAsia"/>
          <w:color w:val="000000"/>
          <w:sz w:val="18"/>
          <w:szCs w:val="18"/>
          <w:lang w:eastAsia="ja-JP"/>
        </w:rPr>
        <w:t>忌避</w:t>
      </w:r>
      <w:r w:rsidR="00967DC4" w:rsidRPr="007B0A0A">
        <w:rPr>
          <w:rFonts w:ascii="MS Mincho" w:eastAsia="MS Mincho" w:hAnsi="MS Mincho" w:cs="MS Mincho" w:hint="eastAsia"/>
          <w:color w:val="000000"/>
          <w:sz w:val="18"/>
          <w:szCs w:val="18"/>
          <w:lang w:eastAsia="ja-JP"/>
        </w:rPr>
        <w:t>・</w:t>
      </w:r>
      <w:r w:rsidR="00A83131" w:rsidRPr="007B0A0A">
        <w:rPr>
          <w:rFonts w:asciiTheme="minorEastAsia" w:eastAsiaTheme="minorEastAsia" w:hAnsiTheme="minorEastAsia" w:hint="eastAsia"/>
          <w:color w:val="000000"/>
          <w:sz w:val="18"/>
          <w:szCs w:val="18"/>
          <w:lang w:eastAsia="ja-JP"/>
        </w:rPr>
        <w:t>回避</w:t>
      </w:r>
      <w:r w:rsidR="00655B5E" w:rsidRPr="007B0A0A">
        <w:rPr>
          <w:rFonts w:asciiTheme="minorEastAsia" w:eastAsiaTheme="minorEastAsia" w:hAnsiTheme="minorEastAsia" w:hint="eastAsia"/>
          <w:color w:val="000000"/>
          <w:sz w:val="18"/>
          <w:szCs w:val="18"/>
          <w:lang w:eastAsia="ja-JP"/>
        </w:rPr>
        <w:t>）</w:t>
      </w:r>
      <w:r w:rsidR="00263B38" w:rsidRPr="007B0A0A">
        <w:rPr>
          <w:rFonts w:asciiTheme="minorEastAsia" w:eastAsiaTheme="minorEastAsia" w:hAnsiTheme="minorEastAsia" w:hint="eastAsia"/>
          <w:color w:val="000000"/>
          <w:sz w:val="18"/>
          <w:szCs w:val="18"/>
          <w:lang w:eastAsia="ja-JP"/>
        </w:rPr>
        <w:t>；3当事人</w:t>
      </w:r>
      <w:r w:rsidR="00EC2BC7" w:rsidRPr="007B0A0A">
        <w:rPr>
          <w:rFonts w:asciiTheme="minorEastAsia" w:eastAsiaTheme="minorEastAsia" w:hAnsiTheme="minorEastAsia" w:hint="eastAsia"/>
          <w:color w:val="000000"/>
          <w:sz w:val="18"/>
          <w:szCs w:val="18"/>
          <w:lang w:eastAsia="ja-JP"/>
        </w:rPr>
        <w:t>（</w:t>
      </w:r>
      <w:r w:rsidR="008C411F" w:rsidRPr="007B0A0A">
        <w:rPr>
          <w:rFonts w:asciiTheme="minorEastAsia" w:eastAsiaTheme="minorEastAsia" w:hAnsiTheme="minorEastAsia" w:hint="eastAsia"/>
          <w:color w:val="000000"/>
          <w:sz w:val="18"/>
          <w:szCs w:val="18"/>
          <w:lang w:eastAsia="ja-JP"/>
        </w:rPr>
        <w:t>当事人的概念</w:t>
      </w:r>
      <w:r w:rsidR="00C419A6" w:rsidRPr="007B0A0A">
        <w:rPr>
          <w:rFonts w:asciiTheme="minorEastAsia" w:eastAsiaTheme="minorEastAsia" w:hAnsiTheme="minorEastAsia" w:hint="eastAsia"/>
          <w:color w:val="000000"/>
          <w:sz w:val="18"/>
          <w:szCs w:val="18"/>
          <w:lang w:eastAsia="ja-JP"/>
        </w:rPr>
        <w:t>和确定</w:t>
      </w:r>
      <w:r w:rsidR="008C411F" w:rsidRPr="007B0A0A">
        <w:rPr>
          <w:rFonts w:asciiTheme="minorEastAsia" w:eastAsiaTheme="minorEastAsia" w:hAnsiTheme="minorEastAsia" w:hint="eastAsia"/>
          <w:color w:val="000000"/>
          <w:sz w:val="18"/>
          <w:szCs w:val="18"/>
          <w:lang w:eastAsia="ja-JP"/>
        </w:rPr>
        <w:t>，当事人</w:t>
      </w:r>
      <w:r w:rsidR="00C419A6" w:rsidRPr="007B0A0A">
        <w:rPr>
          <w:rFonts w:asciiTheme="minorEastAsia" w:eastAsiaTheme="minorEastAsia" w:hAnsiTheme="minorEastAsia" w:hint="eastAsia"/>
          <w:color w:val="000000"/>
          <w:sz w:val="18"/>
          <w:szCs w:val="18"/>
          <w:lang w:eastAsia="ja-JP"/>
        </w:rPr>
        <w:t>能力，诉讼能力</w:t>
      </w:r>
      <w:r w:rsidR="00EC2BC7" w:rsidRPr="007B0A0A">
        <w:rPr>
          <w:rFonts w:asciiTheme="minorEastAsia" w:eastAsiaTheme="minorEastAsia" w:hAnsiTheme="minorEastAsia" w:hint="eastAsia"/>
          <w:color w:val="000000"/>
          <w:sz w:val="18"/>
          <w:szCs w:val="18"/>
          <w:lang w:eastAsia="ja-JP"/>
        </w:rPr>
        <w:t>）</w:t>
      </w:r>
      <w:r w:rsidR="00263B38" w:rsidRPr="007B0A0A">
        <w:rPr>
          <w:rFonts w:asciiTheme="minorEastAsia" w:eastAsiaTheme="minorEastAsia" w:hAnsiTheme="minorEastAsia" w:hint="eastAsia"/>
          <w:color w:val="000000"/>
          <w:sz w:val="18"/>
          <w:szCs w:val="18"/>
          <w:lang w:eastAsia="ja-JP"/>
        </w:rPr>
        <w:t>；</w:t>
      </w:r>
      <w:r w:rsidR="00655B5E" w:rsidRPr="007B0A0A">
        <w:rPr>
          <w:rFonts w:asciiTheme="minorEastAsia" w:eastAsiaTheme="minorEastAsia" w:hAnsiTheme="minorEastAsia" w:hint="eastAsia"/>
          <w:color w:val="000000"/>
          <w:sz w:val="18"/>
          <w:szCs w:val="18"/>
          <w:lang w:eastAsia="ja-JP"/>
        </w:rPr>
        <w:t>4诉</w:t>
      </w:r>
      <w:r w:rsidR="00EE7A41" w:rsidRPr="007B0A0A">
        <w:rPr>
          <w:rFonts w:asciiTheme="minorEastAsia" w:eastAsiaTheme="minorEastAsia" w:hAnsiTheme="minorEastAsia" w:hint="eastAsia"/>
          <w:color w:val="000000"/>
          <w:sz w:val="18"/>
          <w:szCs w:val="18"/>
          <w:lang w:eastAsia="ja-JP"/>
        </w:rPr>
        <w:t>（</w:t>
      </w:r>
      <w:r w:rsidR="00D6383A" w:rsidRPr="007B0A0A">
        <w:rPr>
          <w:rFonts w:asciiTheme="minorEastAsia" w:eastAsiaTheme="minorEastAsia" w:hAnsiTheme="minorEastAsia" w:hint="eastAsia"/>
          <w:color w:val="000000"/>
          <w:sz w:val="18"/>
          <w:szCs w:val="18"/>
          <w:lang w:eastAsia="ja-JP"/>
        </w:rPr>
        <w:t>诉的种类，诉状</w:t>
      </w:r>
      <w:r w:rsidR="008F65A0" w:rsidRPr="007B0A0A">
        <w:rPr>
          <w:rFonts w:asciiTheme="minorEastAsia" w:eastAsiaTheme="minorEastAsia" w:hAnsiTheme="minorEastAsia" w:hint="eastAsia"/>
          <w:color w:val="000000"/>
          <w:sz w:val="18"/>
          <w:szCs w:val="18"/>
          <w:lang w:eastAsia="ja-JP"/>
        </w:rPr>
        <w:t>，重复起诉的禁止</w:t>
      </w:r>
      <w:r w:rsidR="00EE7A41" w:rsidRPr="007B0A0A">
        <w:rPr>
          <w:rFonts w:asciiTheme="minorEastAsia" w:eastAsiaTheme="minorEastAsia" w:hAnsiTheme="minorEastAsia" w:hint="eastAsia"/>
          <w:color w:val="000000"/>
          <w:sz w:val="18"/>
          <w:szCs w:val="18"/>
          <w:lang w:eastAsia="ja-JP"/>
        </w:rPr>
        <w:t>）；5诉讼标的</w:t>
      </w:r>
      <w:r w:rsidR="007575CA" w:rsidRPr="007B0A0A">
        <w:rPr>
          <w:rFonts w:asciiTheme="minorEastAsia" w:eastAsiaTheme="minorEastAsia" w:hAnsiTheme="minorEastAsia" w:hint="eastAsia"/>
          <w:color w:val="000000"/>
          <w:sz w:val="18"/>
          <w:szCs w:val="18"/>
          <w:lang w:eastAsia="ja-JP"/>
        </w:rPr>
        <w:t>（诉讼标的论）</w:t>
      </w:r>
      <w:r w:rsidR="00EE7A41" w:rsidRPr="007B0A0A">
        <w:rPr>
          <w:rFonts w:asciiTheme="minorEastAsia" w:eastAsiaTheme="minorEastAsia" w:hAnsiTheme="minorEastAsia" w:hint="eastAsia"/>
          <w:color w:val="000000"/>
          <w:sz w:val="18"/>
          <w:szCs w:val="18"/>
          <w:lang w:eastAsia="ja-JP"/>
        </w:rPr>
        <w:t>；</w:t>
      </w:r>
      <w:r w:rsidR="00967DC4" w:rsidRPr="007B0A0A">
        <w:rPr>
          <w:rFonts w:asciiTheme="minorEastAsia" w:eastAsiaTheme="minorEastAsia" w:hAnsiTheme="minorEastAsia" w:hint="eastAsia"/>
          <w:color w:val="000000"/>
          <w:sz w:val="18"/>
          <w:szCs w:val="18"/>
          <w:lang w:eastAsia="ja-JP"/>
        </w:rPr>
        <w:t>6</w:t>
      </w:r>
      <w:r w:rsidR="00146D3B" w:rsidRPr="007B0A0A">
        <w:rPr>
          <w:rFonts w:asciiTheme="minorEastAsia" w:eastAsiaTheme="minorEastAsia" w:hAnsiTheme="minorEastAsia" w:hint="eastAsia"/>
          <w:color w:val="000000"/>
          <w:sz w:val="18"/>
          <w:szCs w:val="18"/>
          <w:lang w:eastAsia="ja-JP"/>
        </w:rPr>
        <w:t>诉讼要件（</w:t>
      </w:r>
      <w:r w:rsidR="002A7998" w:rsidRPr="007B0A0A">
        <w:rPr>
          <w:rFonts w:asciiTheme="minorEastAsia" w:eastAsiaTheme="minorEastAsia" w:hAnsiTheme="minorEastAsia" w:hint="eastAsia"/>
          <w:color w:val="000000"/>
          <w:sz w:val="18"/>
          <w:szCs w:val="18"/>
          <w:lang w:eastAsia="ja-JP"/>
        </w:rPr>
        <w:t>诉的利益，当事人适格</w:t>
      </w:r>
      <w:r w:rsidR="00146D3B" w:rsidRPr="007B0A0A">
        <w:rPr>
          <w:rFonts w:asciiTheme="minorEastAsia" w:eastAsiaTheme="minorEastAsia" w:hAnsiTheme="minorEastAsia" w:hint="eastAsia"/>
          <w:color w:val="000000"/>
          <w:sz w:val="18"/>
          <w:szCs w:val="18"/>
          <w:lang w:eastAsia="ja-JP"/>
        </w:rPr>
        <w:t>）；7</w:t>
      </w:r>
      <w:r w:rsidR="00F94076" w:rsidRPr="007B0A0A">
        <w:rPr>
          <w:rFonts w:asciiTheme="minorEastAsia" w:eastAsiaTheme="minorEastAsia" w:hAnsiTheme="minorEastAsia" w:hint="eastAsia"/>
          <w:color w:val="000000"/>
          <w:sz w:val="18"/>
          <w:szCs w:val="18"/>
          <w:lang w:eastAsia="ja-JP"/>
        </w:rPr>
        <w:t>当事人的辩论活动和法院的职能</w:t>
      </w:r>
      <w:r w:rsidR="00146D3B" w:rsidRPr="007B0A0A">
        <w:rPr>
          <w:rFonts w:asciiTheme="minorEastAsia" w:eastAsiaTheme="minorEastAsia" w:hAnsiTheme="minorEastAsia" w:hint="eastAsia"/>
          <w:color w:val="000000"/>
          <w:sz w:val="18"/>
          <w:szCs w:val="18"/>
          <w:lang w:eastAsia="ja-JP"/>
        </w:rPr>
        <w:t>（</w:t>
      </w:r>
      <w:r w:rsidR="000903D7" w:rsidRPr="007B0A0A">
        <w:rPr>
          <w:rFonts w:asciiTheme="minorEastAsia" w:eastAsiaTheme="minorEastAsia" w:hAnsiTheme="minorEastAsia" w:hint="eastAsia"/>
          <w:color w:val="000000"/>
          <w:sz w:val="18"/>
          <w:szCs w:val="18"/>
          <w:lang w:eastAsia="ja-JP"/>
        </w:rPr>
        <w:t>处分权主义，辩论主义，</w:t>
      </w:r>
      <w:r w:rsidR="00083699" w:rsidRPr="007B0A0A">
        <w:rPr>
          <w:rFonts w:asciiTheme="minorEastAsia" w:eastAsiaTheme="minorEastAsia" w:hAnsiTheme="minorEastAsia" w:hint="eastAsia"/>
          <w:color w:val="000000"/>
          <w:sz w:val="18"/>
          <w:szCs w:val="18"/>
          <w:lang w:eastAsia="ja-JP"/>
        </w:rPr>
        <w:t>职权进行主义</w:t>
      </w:r>
      <w:r w:rsidR="00146D3B" w:rsidRPr="007B0A0A">
        <w:rPr>
          <w:rFonts w:asciiTheme="minorEastAsia" w:eastAsiaTheme="minorEastAsia" w:hAnsiTheme="minorEastAsia" w:hint="eastAsia"/>
          <w:color w:val="000000"/>
          <w:sz w:val="18"/>
          <w:szCs w:val="18"/>
          <w:lang w:eastAsia="ja-JP"/>
        </w:rPr>
        <w:t>）；8</w:t>
      </w:r>
      <w:r w:rsidR="003B63BA" w:rsidRPr="007B0A0A">
        <w:rPr>
          <w:rFonts w:asciiTheme="minorEastAsia" w:eastAsiaTheme="minorEastAsia" w:hAnsiTheme="minorEastAsia" w:hint="eastAsia"/>
          <w:color w:val="000000"/>
          <w:sz w:val="18"/>
          <w:szCs w:val="18"/>
          <w:lang w:eastAsia="ja-JP"/>
        </w:rPr>
        <w:t>口头辩论和其准备程序</w:t>
      </w:r>
      <w:r w:rsidR="00146D3B" w:rsidRPr="007B0A0A">
        <w:rPr>
          <w:rFonts w:asciiTheme="minorEastAsia" w:eastAsiaTheme="minorEastAsia" w:hAnsiTheme="minorEastAsia" w:hint="eastAsia"/>
          <w:color w:val="000000"/>
          <w:sz w:val="18"/>
          <w:szCs w:val="18"/>
          <w:lang w:eastAsia="ja-JP"/>
        </w:rPr>
        <w:t>（</w:t>
      </w:r>
      <w:r w:rsidR="008F65A0" w:rsidRPr="007B0A0A">
        <w:rPr>
          <w:rFonts w:asciiTheme="minorEastAsia" w:eastAsiaTheme="minorEastAsia" w:hAnsiTheme="minorEastAsia" w:hint="eastAsia"/>
          <w:color w:val="000000"/>
          <w:sz w:val="18"/>
          <w:szCs w:val="18"/>
          <w:lang w:val="de-DE" w:eastAsia="ja-JP"/>
        </w:rPr>
        <w:t>审理的原则</w:t>
      </w:r>
      <w:r w:rsidR="00283BD9" w:rsidRPr="007B0A0A">
        <w:rPr>
          <w:rFonts w:asciiTheme="minorEastAsia" w:eastAsiaTheme="minorEastAsia" w:hAnsiTheme="minorEastAsia" w:hint="eastAsia"/>
          <w:color w:val="000000"/>
          <w:sz w:val="18"/>
          <w:szCs w:val="18"/>
          <w:lang w:val="de-DE" w:eastAsia="ja-JP"/>
        </w:rPr>
        <w:t>，期日，辩论的</w:t>
      </w:r>
      <w:r w:rsidR="00C7424F" w:rsidRPr="007B0A0A">
        <w:rPr>
          <w:rFonts w:asciiTheme="minorEastAsia" w:eastAsiaTheme="minorEastAsia" w:hAnsiTheme="minorEastAsia" w:hint="eastAsia"/>
          <w:color w:val="000000"/>
          <w:sz w:val="18"/>
          <w:szCs w:val="18"/>
          <w:lang w:val="de-DE" w:eastAsia="ja-JP"/>
        </w:rPr>
        <w:t>分离</w:t>
      </w:r>
      <w:r w:rsidR="00C7424F" w:rsidRPr="007B0A0A">
        <w:rPr>
          <w:rFonts w:ascii="MS Mincho" w:eastAsia="MS Mincho" w:hAnsi="MS Mincho" w:cs="MS Mincho" w:hint="eastAsia"/>
          <w:color w:val="000000"/>
          <w:sz w:val="18"/>
          <w:szCs w:val="18"/>
          <w:lang w:eastAsia="ja-JP"/>
        </w:rPr>
        <w:t>・</w:t>
      </w:r>
      <w:r w:rsidR="00C7424F" w:rsidRPr="007B0A0A">
        <w:rPr>
          <w:rFonts w:asciiTheme="minorEastAsia" w:eastAsiaTheme="minorEastAsia" w:hAnsiTheme="minorEastAsia" w:hint="eastAsia"/>
          <w:color w:val="000000"/>
          <w:sz w:val="18"/>
          <w:szCs w:val="18"/>
          <w:lang w:val="de-DE" w:eastAsia="ja-JP"/>
        </w:rPr>
        <w:t>合并</w:t>
      </w:r>
      <w:r w:rsidR="00146D3B" w:rsidRPr="007B0A0A">
        <w:rPr>
          <w:rFonts w:asciiTheme="minorEastAsia" w:eastAsiaTheme="minorEastAsia" w:hAnsiTheme="minorEastAsia" w:hint="eastAsia"/>
          <w:color w:val="000000"/>
          <w:sz w:val="18"/>
          <w:szCs w:val="18"/>
          <w:lang w:eastAsia="ja-JP"/>
        </w:rPr>
        <w:t>）；9</w:t>
      </w:r>
      <w:r w:rsidR="00654C92" w:rsidRPr="007B0A0A">
        <w:rPr>
          <w:rFonts w:asciiTheme="minorEastAsia" w:eastAsiaTheme="minorEastAsia" w:hAnsiTheme="minorEastAsia" w:hint="eastAsia"/>
          <w:color w:val="000000"/>
          <w:sz w:val="18"/>
          <w:szCs w:val="18"/>
          <w:lang w:eastAsia="ja-JP"/>
        </w:rPr>
        <w:t>证据</w:t>
      </w:r>
      <w:r w:rsidR="00146D3B" w:rsidRPr="007B0A0A">
        <w:rPr>
          <w:rFonts w:asciiTheme="minorEastAsia" w:eastAsiaTheme="minorEastAsia" w:hAnsiTheme="minorEastAsia" w:hint="eastAsia"/>
          <w:color w:val="000000"/>
          <w:sz w:val="18"/>
          <w:szCs w:val="18"/>
          <w:lang w:eastAsia="ja-JP"/>
        </w:rPr>
        <w:t>（</w:t>
      </w:r>
      <w:r w:rsidR="00A575AB" w:rsidRPr="007B0A0A">
        <w:rPr>
          <w:rFonts w:asciiTheme="minorEastAsia" w:eastAsiaTheme="minorEastAsia" w:hAnsiTheme="minorEastAsia" w:hint="eastAsia"/>
          <w:color w:val="000000"/>
          <w:sz w:val="18"/>
          <w:szCs w:val="18"/>
          <w:lang w:eastAsia="ja-JP"/>
        </w:rPr>
        <w:t>证据法总论和分论</w:t>
      </w:r>
      <w:r w:rsidR="00146D3B" w:rsidRPr="007B0A0A">
        <w:rPr>
          <w:rFonts w:asciiTheme="minorEastAsia" w:eastAsiaTheme="minorEastAsia" w:hAnsiTheme="minorEastAsia" w:hint="eastAsia"/>
          <w:color w:val="000000"/>
          <w:sz w:val="18"/>
          <w:szCs w:val="18"/>
          <w:lang w:eastAsia="ja-JP"/>
        </w:rPr>
        <w:t>）；10</w:t>
      </w:r>
      <w:r w:rsidR="005F1A47" w:rsidRPr="007B0A0A">
        <w:rPr>
          <w:rFonts w:asciiTheme="minorEastAsia" w:eastAsiaTheme="minorEastAsia" w:hAnsiTheme="minorEastAsia" w:hint="eastAsia"/>
          <w:color w:val="000000"/>
          <w:sz w:val="18"/>
          <w:szCs w:val="18"/>
          <w:lang w:eastAsia="ja-JP"/>
        </w:rPr>
        <w:t>基于当事人行为的诉讼结束</w:t>
      </w:r>
      <w:r w:rsidR="004C094F" w:rsidRPr="007B0A0A">
        <w:rPr>
          <w:rFonts w:asciiTheme="minorEastAsia" w:eastAsiaTheme="minorEastAsia" w:hAnsiTheme="minorEastAsia" w:hint="eastAsia"/>
          <w:color w:val="000000"/>
          <w:sz w:val="18"/>
          <w:szCs w:val="18"/>
          <w:lang w:eastAsia="ja-JP"/>
        </w:rPr>
        <w:t>（撤诉，</w:t>
      </w:r>
      <w:r w:rsidR="00723F6A" w:rsidRPr="007B0A0A">
        <w:rPr>
          <w:rFonts w:asciiTheme="minorEastAsia" w:eastAsiaTheme="minorEastAsia" w:hAnsiTheme="minorEastAsia" w:hint="eastAsia"/>
          <w:color w:val="000000"/>
          <w:sz w:val="18"/>
          <w:szCs w:val="18"/>
          <w:lang w:eastAsia="ja-JP"/>
        </w:rPr>
        <w:t>请求的放弃和认诺，</w:t>
      </w:r>
      <w:r w:rsidR="004C094F" w:rsidRPr="007B0A0A">
        <w:rPr>
          <w:rFonts w:asciiTheme="minorEastAsia" w:eastAsiaTheme="minorEastAsia" w:hAnsiTheme="minorEastAsia" w:hint="eastAsia"/>
          <w:color w:val="000000"/>
          <w:sz w:val="18"/>
          <w:szCs w:val="18"/>
          <w:lang w:eastAsia="ja-JP"/>
        </w:rPr>
        <w:t>裁判上的和解）</w:t>
      </w:r>
      <w:r w:rsidR="00146D3B" w:rsidRPr="007B0A0A">
        <w:rPr>
          <w:rFonts w:asciiTheme="minorEastAsia" w:eastAsiaTheme="minorEastAsia" w:hAnsiTheme="minorEastAsia" w:hint="eastAsia"/>
          <w:color w:val="000000"/>
          <w:sz w:val="18"/>
          <w:szCs w:val="18"/>
          <w:lang w:eastAsia="ja-JP"/>
        </w:rPr>
        <w:t>；11</w:t>
      </w:r>
      <w:r w:rsidR="000A2988" w:rsidRPr="007B0A0A">
        <w:rPr>
          <w:rFonts w:asciiTheme="minorEastAsia" w:eastAsiaTheme="minorEastAsia" w:hAnsiTheme="minorEastAsia" w:hint="eastAsia"/>
          <w:color w:val="000000"/>
          <w:sz w:val="18"/>
          <w:szCs w:val="18"/>
          <w:lang w:eastAsia="ja-JP"/>
        </w:rPr>
        <w:t>基于法院判决的诉讼结束</w:t>
      </w:r>
      <w:r w:rsidR="00723F6A" w:rsidRPr="007B0A0A">
        <w:rPr>
          <w:rFonts w:asciiTheme="minorEastAsia" w:eastAsiaTheme="minorEastAsia" w:hAnsiTheme="minorEastAsia" w:hint="eastAsia"/>
          <w:color w:val="000000"/>
          <w:sz w:val="18"/>
          <w:szCs w:val="18"/>
          <w:lang w:eastAsia="ja-JP"/>
        </w:rPr>
        <w:t>（既判力</w:t>
      </w:r>
      <w:r w:rsidR="007B0A0A" w:rsidRPr="007B0A0A">
        <w:rPr>
          <w:rFonts w:ascii="MS Mincho" w:eastAsia="MS Mincho" w:hAnsi="MS Mincho" w:cs="MS Mincho" w:hint="eastAsia"/>
          <w:color w:val="000000"/>
          <w:sz w:val="18"/>
          <w:szCs w:val="18"/>
          <w:lang w:eastAsia="ja-JP"/>
        </w:rPr>
        <w:t>・</w:t>
      </w:r>
      <w:r w:rsidR="007B0A0A" w:rsidRPr="007B0A0A">
        <w:rPr>
          <w:rFonts w:asciiTheme="minorEastAsia" w:eastAsiaTheme="minorEastAsia" w:hAnsiTheme="minorEastAsia" w:cs="宋体" w:hint="eastAsia"/>
          <w:color w:val="000000"/>
          <w:sz w:val="18"/>
          <w:szCs w:val="18"/>
          <w:lang w:eastAsia="ja-JP"/>
        </w:rPr>
        <w:t>执行力</w:t>
      </w:r>
      <w:r w:rsidR="007B0A0A" w:rsidRPr="007B0A0A">
        <w:rPr>
          <w:rFonts w:ascii="MS Mincho" w:eastAsia="MS Mincho" w:hAnsi="MS Mincho" w:cs="MS Mincho" w:hint="eastAsia"/>
          <w:color w:val="000000"/>
          <w:sz w:val="18"/>
          <w:szCs w:val="18"/>
          <w:lang w:eastAsia="ja-JP"/>
        </w:rPr>
        <w:t>・</w:t>
      </w:r>
      <w:r w:rsidR="007B0A0A" w:rsidRPr="007B0A0A">
        <w:rPr>
          <w:rFonts w:asciiTheme="minorEastAsia" w:eastAsiaTheme="minorEastAsia" w:hAnsiTheme="minorEastAsia" w:cs="MS Mincho" w:hint="eastAsia"/>
          <w:color w:val="000000"/>
          <w:sz w:val="18"/>
          <w:szCs w:val="18"/>
          <w:lang w:eastAsia="ja-JP"/>
        </w:rPr>
        <w:t>形成力</w:t>
      </w:r>
      <w:r w:rsidR="004D1E5D" w:rsidRPr="007B0A0A">
        <w:rPr>
          <w:rFonts w:asciiTheme="minorEastAsia" w:eastAsiaTheme="minorEastAsia" w:hAnsiTheme="minorEastAsia" w:hint="eastAsia"/>
          <w:color w:val="000000"/>
          <w:sz w:val="18"/>
          <w:szCs w:val="18"/>
          <w:lang w:eastAsia="ja-JP"/>
        </w:rPr>
        <w:t>，争点效</w:t>
      </w:r>
      <w:r w:rsidR="00F058A3" w:rsidRPr="007B0A0A">
        <w:rPr>
          <w:rFonts w:asciiTheme="minorEastAsia" w:eastAsiaTheme="minorEastAsia" w:hAnsiTheme="minorEastAsia" w:hint="eastAsia"/>
          <w:color w:val="000000"/>
          <w:sz w:val="18"/>
          <w:szCs w:val="18"/>
          <w:lang w:eastAsia="ja-JP"/>
        </w:rPr>
        <w:t>，反射效</w:t>
      </w:r>
      <w:r w:rsidR="00723F6A" w:rsidRPr="007B0A0A">
        <w:rPr>
          <w:rFonts w:asciiTheme="minorEastAsia" w:eastAsiaTheme="minorEastAsia" w:hAnsiTheme="minorEastAsia" w:hint="eastAsia"/>
          <w:color w:val="000000"/>
          <w:sz w:val="18"/>
          <w:szCs w:val="18"/>
          <w:lang w:eastAsia="ja-JP"/>
        </w:rPr>
        <w:t>）</w:t>
      </w:r>
      <w:r w:rsidR="00146D3B" w:rsidRPr="007B0A0A">
        <w:rPr>
          <w:rFonts w:asciiTheme="minorEastAsia" w:eastAsiaTheme="minorEastAsia" w:hAnsiTheme="minorEastAsia" w:hint="eastAsia"/>
          <w:color w:val="000000"/>
          <w:sz w:val="18"/>
          <w:szCs w:val="18"/>
          <w:lang w:eastAsia="ja-JP"/>
        </w:rPr>
        <w:t>；12</w:t>
      </w:r>
      <w:r w:rsidR="00323002" w:rsidRPr="007B0A0A">
        <w:rPr>
          <w:rFonts w:asciiTheme="minorEastAsia" w:eastAsiaTheme="minorEastAsia" w:hAnsiTheme="minorEastAsia" w:hint="eastAsia"/>
          <w:color w:val="000000"/>
          <w:sz w:val="18"/>
          <w:szCs w:val="18"/>
          <w:lang w:eastAsia="ja-JP"/>
        </w:rPr>
        <w:t>上诉和再审</w:t>
      </w:r>
      <w:r w:rsidR="00146D3B" w:rsidRPr="007B0A0A">
        <w:rPr>
          <w:rFonts w:asciiTheme="minorEastAsia" w:eastAsiaTheme="minorEastAsia" w:hAnsiTheme="minorEastAsia" w:hint="eastAsia"/>
          <w:color w:val="000000"/>
          <w:sz w:val="18"/>
          <w:szCs w:val="18"/>
          <w:lang w:eastAsia="ja-JP"/>
        </w:rPr>
        <w:t>；13</w:t>
      </w:r>
      <w:r w:rsidR="00597A56" w:rsidRPr="007B0A0A">
        <w:rPr>
          <w:rFonts w:asciiTheme="minorEastAsia" w:eastAsiaTheme="minorEastAsia" w:hAnsiTheme="minorEastAsia" w:hint="eastAsia"/>
          <w:color w:val="000000"/>
          <w:sz w:val="18"/>
          <w:szCs w:val="18"/>
          <w:lang w:eastAsia="ja-JP"/>
        </w:rPr>
        <w:t>多数当事人的诉讼</w:t>
      </w:r>
      <w:r w:rsidR="00146D3B" w:rsidRPr="007B0A0A">
        <w:rPr>
          <w:rFonts w:asciiTheme="minorEastAsia" w:eastAsiaTheme="minorEastAsia" w:hAnsiTheme="minorEastAsia" w:hint="eastAsia"/>
          <w:color w:val="000000"/>
          <w:sz w:val="18"/>
          <w:szCs w:val="18"/>
          <w:lang w:eastAsia="ja-JP"/>
        </w:rPr>
        <w:t>（</w:t>
      </w:r>
      <w:r w:rsidR="00802278" w:rsidRPr="007B0A0A">
        <w:rPr>
          <w:rFonts w:asciiTheme="minorEastAsia" w:eastAsiaTheme="minorEastAsia" w:hAnsiTheme="minorEastAsia" w:hint="eastAsia"/>
          <w:color w:val="000000"/>
          <w:sz w:val="18"/>
          <w:szCs w:val="18"/>
          <w:lang w:eastAsia="ja-JP"/>
        </w:rPr>
        <w:t>诉的合并</w:t>
      </w:r>
      <w:r w:rsidR="00541F28" w:rsidRPr="007B0A0A">
        <w:rPr>
          <w:rFonts w:ascii="MS Mincho" w:eastAsia="MS Mincho" w:hAnsi="MS Mincho" w:cs="MS Mincho" w:hint="eastAsia"/>
          <w:color w:val="000000"/>
          <w:sz w:val="18"/>
          <w:szCs w:val="18"/>
          <w:lang w:eastAsia="ja-JP"/>
        </w:rPr>
        <w:t>・</w:t>
      </w:r>
      <w:r w:rsidR="00541F28" w:rsidRPr="007B0A0A">
        <w:rPr>
          <w:rFonts w:asciiTheme="minorEastAsia" w:eastAsiaTheme="minorEastAsia" w:hAnsiTheme="minorEastAsia" w:hint="eastAsia"/>
          <w:color w:val="000000"/>
          <w:sz w:val="18"/>
          <w:szCs w:val="18"/>
          <w:lang w:eastAsia="ja-JP"/>
        </w:rPr>
        <w:t>变更，反诉，中间确认之诉</w:t>
      </w:r>
      <w:r w:rsidR="00146D3B" w:rsidRPr="007B0A0A">
        <w:rPr>
          <w:rFonts w:asciiTheme="minorEastAsia" w:eastAsiaTheme="minorEastAsia" w:hAnsiTheme="minorEastAsia" w:hint="eastAsia"/>
          <w:color w:val="000000"/>
          <w:sz w:val="18"/>
          <w:szCs w:val="18"/>
          <w:lang w:eastAsia="ja-JP"/>
        </w:rPr>
        <w:t>）；14</w:t>
      </w:r>
      <w:r w:rsidR="00C77ECC" w:rsidRPr="007B0A0A">
        <w:rPr>
          <w:rFonts w:asciiTheme="minorEastAsia" w:eastAsiaTheme="minorEastAsia" w:hAnsiTheme="minorEastAsia" w:hint="eastAsia"/>
          <w:color w:val="000000"/>
          <w:sz w:val="18"/>
          <w:szCs w:val="18"/>
          <w:lang w:eastAsia="ja-JP"/>
        </w:rPr>
        <w:t>复数请求的诉讼</w:t>
      </w:r>
      <w:r w:rsidR="00146D3B" w:rsidRPr="007B0A0A">
        <w:rPr>
          <w:rFonts w:asciiTheme="minorEastAsia" w:eastAsiaTheme="minorEastAsia" w:hAnsiTheme="minorEastAsia" w:hint="eastAsia"/>
          <w:color w:val="000000"/>
          <w:sz w:val="18"/>
          <w:szCs w:val="18"/>
          <w:lang w:eastAsia="ja-JP"/>
        </w:rPr>
        <w:t>（</w:t>
      </w:r>
      <w:r w:rsidR="00972952" w:rsidRPr="007B0A0A">
        <w:rPr>
          <w:rFonts w:asciiTheme="minorEastAsia" w:eastAsiaTheme="minorEastAsia" w:hAnsiTheme="minorEastAsia" w:hint="eastAsia"/>
          <w:color w:val="000000"/>
          <w:sz w:val="18"/>
          <w:szCs w:val="18"/>
          <w:lang w:eastAsia="ja-JP"/>
        </w:rPr>
        <w:t>共同诉讼，诉讼参加</w:t>
      </w:r>
      <w:r w:rsidR="00146D3B" w:rsidRPr="007B0A0A">
        <w:rPr>
          <w:rFonts w:asciiTheme="minorEastAsia" w:eastAsiaTheme="minorEastAsia" w:hAnsiTheme="minorEastAsia" w:hint="eastAsia"/>
          <w:color w:val="000000"/>
          <w:sz w:val="18"/>
          <w:szCs w:val="18"/>
          <w:lang w:eastAsia="ja-JP"/>
        </w:rPr>
        <w:t>）；</w:t>
      </w:r>
      <w:r w:rsidR="009038E6" w:rsidRPr="007B0A0A">
        <w:rPr>
          <w:rFonts w:asciiTheme="minorEastAsia" w:eastAsiaTheme="minorEastAsia" w:hAnsiTheme="minorEastAsia" w:hint="eastAsia"/>
          <w:color w:val="000000"/>
          <w:sz w:val="18"/>
          <w:szCs w:val="18"/>
          <w:lang w:eastAsia="ja-JP"/>
        </w:rPr>
        <w:t>15</w:t>
      </w:r>
      <w:r w:rsidR="00616CCE" w:rsidRPr="007B0A0A">
        <w:rPr>
          <w:rFonts w:asciiTheme="minorEastAsia" w:eastAsiaTheme="minorEastAsia" w:hAnsiTheme="minorEastAsia" w:hint="eastAsia"/>
          <w:color w:val="000000"/>
          <w:sz w:val="18"/>
          <w:szCs w:val="18"/>
          <w:lang w:eastAsia="ja-JP"/>
        </w:rPr>
        <w:t>简易诉讼程序</w:t>
      </w:r>
      <w:r w:rsidR="009038E6" w:rsidRPr="007B0A0A">
        <w:rPr>
          <w:rFonts w:asciiTheme="minorEastAsia" w:eastAsiaTheme="minorEastAsia" w:hAnsiTheme="minorEastAsia" w:hint="eastAsia"/>
          <w:color w:val="000000"/>
          <w:sz w:val="18"/>
          <w:szCs w:val="18"/>
          <w:lang w:eastAsia="ja-JP"/>
        </w:rPr>
        <w:t>；</w:t>
      </w:r>
      <w:r w:rsidR="00E2544C" w:rsidRPr="007B0A0A">
        <w:rPr>
          <w:rFonts w:asciiTheme="minorEastAsia" w:eastAsiaTheme="minorEastAsia" w:hAnsiTheme="minorEastAsia" w:hint="eastAsia"/>
          <w:color w:val="000000"/>
          <w:sz w:val="18"/>
          <w:szCs w:val="18"/>
          <w:lang w:eastAsia="ja-JP"/>
        </w:rPr>
        <w:t>16</w:t>
      </w:r>
      <w:r w:rsidR="00112D2D" w:rsidRPr="007B0A0A">
        <w:rPr>
          <w:rFonts w:asciiTheme="minorEastAsia" w:eastAsiaTheme="minorEastAsia" w:hAnsiTheme="minorEastAsia" w:hint="eastAsia"/>
          <w:color w:val="000000"/>
          <w:sz w:val="18"/>
          <w:szCs w:val="18"/>
          <w:lang w:val="de-DE" w:eastAsia="ja-JP"/>
        </w:rPr>
        <w:t>日本民事诉讼法</w:t>
      </w:r>
      <w:r w:rsidR="007E40F2">
        <w:rPr>
          <w:rFonts w:asciiTheme="minorEastAsia" w:eastAsiaTheme="minorEastAsia" w:hAnsiTheme="minorEastAsia" w:hint="eastAsia"/>
          <w:color w:val="000000"/>
          <w:sz w:val="18"/>
          <w:szCs w:val="18"/>
          <w:lang w:val="de-DE" w:eastAsia="ja-JP"/>
        </w:rPr>
        <w:t>的</w:t>
      </w:r>
      <w:r w:rsidR="00112D2D" w:rsidRPr="007B0A0A">
        <w:rPr>
          <w:rFonts w:asciiTheme="minorEastAsia" w:eastAsiaTheme="minorEastAsia" w:hAnsiTheme="minorEastAsia" w:hint="eastAsia"/>
          <w:color w:val="000000"/>
          <w:sz w:val="18"/>
          <w:szCs w:val="18"/>
          <w:lang w:val="de-DE" w:eastAsia="ja-JP"/>
        </w:rPr>
        <w:t>现代化改革</w:t>
      </w:r>
      <w:r w:rsidR="0056296C" w:rsidRPr="007B0A0A">
        <w:rPr>
          <w:rFonts w:asciiTheme="minorEastAsia" w:eastAsiaTheme="minorEastAsia" w:hAnsiTheme="minorEastAsia" w:hint="eastAsia"/>
          <w:color w:val="000000"/>
          <w:sz w:val="18"/>
          <w:szCs w:val="18"/>
          <w:lang w:val="de-DE" w:eastAsia="ja-JP"/>
        </w:rPr>
        <w:t>。</w:t>
      </w:r>
    </w:p>
    <w:p w14:paraId="356038B6" w14:textId="77777777" w:rsidR="00651FC5" w:rsidRDefault="00000000">
      <w:pPr>
        <w:spacing w:before="100" w:beforeAutospacing="1" w:after="100" w:afterAutospacing="1"/>
        <w:jc w:val="left"/>
        <w:rPr>
          <w:rFonts w:hAnsi="宋体" w:hint="eastAsia"/>
          <w:b/>
          <w:bCs/>
          <w:color w:val="000080"/>
          <w:sz w:val="24"/>
          <w:szCs w:val="24"/>
        </w:rPr>
      </w:pPr>
      <w:r>
        <w:rPr>
          <w:rFonts w:hAnsi="宋体" w:hint="eastAsia"/>
          <w:b/>
          <w:bCs/>
          <w:color w:val="000080"/>
          <w:sz w:val="24"/>
          <w:szCs w:val="24"/>
        </w:rPr>
        <w:t>Content</w:t>
      </w:r>
    </w:p>
    <w:p w14:paraId="356038B8" w14:textId="754446D0" w:rsidR="00651FC5" w:rsidRPr="003C6435" w:rsidRDefault="0011246C" w:rsidP="00531D4E">
      <w:pPr>
        <w:spacing w:after="160"/>
        <w:ind w:firstLineChars="200" w:firstLine="360"/>
        <w:rPr>
          <w:rFonts w:eastAsia="MS Mincho"/>
          <w:color w:val="000000"/>
          <w:kern w:val="0"/>
          <w:sz w:val="18"/>
          <w:szCs w:val="18"/>
          <w:lang w:eastAsia="ja-JP"/>
        </w:rPr>
      </w:pPr>
      <w:r w:rsidRPr="006F5C04">
        <w:rPr>
          <w:color w:val="000000"/>
          <w:kern w:val="0"/>
          <w:sz w:val="18"/>
          <w:szCs w:val="18"/>
        </w:rPr>
        <w:t>This course is divided into 16 modules:</w:t>
      </w:r>
      <w:r w:rsidRPr="003C6435">
        <w:rPr>
          <w:color w:val="000000"/>
          <w:kern w:val="0"/>
          <w:sz w:val="18"/>
          <w:szCs w:val="18"/>
        </w:rPr>
        <w:t xml:space="preserve"> 1.</w:t>
      </w:r>
      <w:r w:rsidRPr="006F5C04">
        <w:rPr>
          <w:color w:val="000000"/>
          <w:kern w:val="0"/>
          <w:sz w:val="18"/>
          <w:szCs w:val="18"/>
        </w:rPr>
        <w:t>Introduction</w:t>
      </w:r>
      <w:r w:rsidRPr="003C6435">
        <w:rPr>
          <w:color w:val="000000"/>
          <w:kern w:val="0"/>
          <w:sz w:val="18"/>
          <w:szCs w:val="18"/>
        </w:rPr>
        <w:t>;</w:t>
      </w:r>
      <w:r w:rsidR="00FE2884" w:rsidRPr="003C6435">
        <w:rPr>
          <w:color w:val="000000"/>
          <w:kern w:val="0"/>
          <w:sz w:val="18"/>
          <w:szCs w:val="18"/>
        </w:rPr>
        <w:t xml:space="preserve"> </w:t>
      </w:r>
      <w:r w:rsidRPr="003C6435">
        <w:rPr>
          <w:color w:val="000000"/>
          <w:kern w:val="0"/>
          <w:sz w:val="18"/>
          <w:szCs w:val="18"/>
        </w:rPr>
        <w:t>2.</w:t>
      </w:r>
      <w:r w:rsidRPr="006F5C04">
        <w:rPr>
          <w:color w:val="000000"/>
          <w:kern w:val="0"/>
          <w:sz w:val="18"/>
          <w:szCs w:val="18"/>
        </w:rPr>
        <w:t>Courts (Jurisdiction, Transfer, Exclusion, Recusal, and Avoidance)</w:t>
      </w:r>
      <w:r w:rsidRPr="003C6435">
        <w:rPr>
          <w:color w:val="000000"/>
          <w:kern w:val="0"/>
          <w:sz w:val="18"/>
          <w:szCs w:val="18"/>
        </w:rPr>
        <w:t xml:space="preserve"> ;</w:t>
      </w:r>
      <w:r w:rsidR="00481883" w:rsidRPr="003C6435">
        <w:rPr>
          <w:color w:val="000000"/>
          <w:kern w:val="0"/>
          <w:sz w:val="18"/>
          <w:szCs w:val="18"/>
        </w:rPr>
        <w:t xml:space="preserve"> </w:t>
      </w:r>
      <w:r w:rsidR="00987B93" w:rsidRPr="003C6435">
        <w:rPr>
          <w:color w:val="000000"/>
          <w:kern w:val="0"/>
          <w:sz w:val="18"/>
          <w:szCs w:val="18"/>
        </w:rPr>
        <w:t>3</w:t>
      </w:r>
      <w:r w:rsidR="00905DCE" w:rsidRPr="003C6435">
        <w:rPr>
          <w:color w:val="000000"/>
          <w:kern w:val="0"/>
          <w:sz w:val="18"/>
          <w:szCs w:val="18"/>
        </w:rPr>
        <w:t>.</w:t>
      </w:r>
      <w:r w:rsidRPr="006F5C04">
        <w:rPr>
          <w:color w:val="000000"/>
          <w:kern w:val="0"/>
          <w:sz w:val="18"/>
          <w:szCs w:val="18"/>
        </w:rPr>
        <w:t xml:space="preserve">Parties (Definition and Determination of Parties, Capacity to Be a Party, </w:t>
      </w:r>
      <w:r w:rsidR="00587636" w:rsidRPr="003C6435">
        <w:rPr>
          <w:color w:val="000000"/>
          <w:kern w:val="0"/>
          <w:sz w:val="18"/>
          <w:szCs w:val="18"/>
        </w:rPr>
        <w:t>Litigation Capacity</w:t>
      </w:r>
      <w:r w:rsidRPr="006F5C04">
        <w:rPr>
          <w:color w:val="000000"/>
          <w:kern w:val="0"/>
          <w:sz w:val="18"/>
          <w:szCs w:val="18"/>
        </w:rPr>
        <w:t>)</w:t>
      </w:r>
      <w:r w:rsidRPr="003C6435">
        <w:rPr>
          <w:color w:val="000000"/>
          <w:kern w:val="0"/>
          <w:sz w:val="18"/>
          <w:szCs w:val="18"/>
        </w:rPr>
        <w:t>;</w:t>
      </w:r>
      <w:r w:rsidR="00481883" w:rsidRPr="003C6435">
        <w:rPr>
          <w:color w:val="000000"/>
          <w:kern w:val="0"/>
          <w:sz w:val="18"/>
          <w:szCs w:val="18"/>
        </w:rPr>
        <w:t xml:space="preserve"> </w:t>
      </w:r>
      <w:r w:rsidR="00905DCE" w:rsidRPr="003C6435">
        <w:rPr>
          <w:color w:val="000000"/>
          <w:kern w:val="0"/>
          <w:sz w:val="18"/>
          <w:szCs w:val="18"/>
        </w:rPr>
        <w:t>4.</w:t>
      </w:r>
      <w:r w:rsidRPr="006F5C04">
        <w:rPr>
          <w:color w:val="000000"/>
          <w:kern w:val="0"/>
          <w:sz w:val="18"/>
          <w:szCs w:val="18"/>
        </w:rPr>
        <w:t xml:space="preserve">Lawsuit (Types of Lawsuits, </w:t>
      </w:r>
      <w:r w:rsidR="001D50DC" w:rsidRPr="003C6435">
        <w:rPr>
          <w:color w:val="000000"/>
          <w:kern w:val="0"/>
          <w:sz w:val="18"/>
          <w:szCs w:val="18"/>
        </w:rPr>
        <w:t xml:space="preserve">Pleadings, </w:t>
      </w:r>
      <w:r w:rsidRPr="006F5C04">
        <w:rPr>
          <w:color w:val="000000"/>
          <w:kern w:val="0"/>
          <w:sz w:val="18"/>
          <w:szCs w:val="18"/>
        </w:rPr>
        <w:t>Prohibition of Repetitive Litigation)</w:t>
      </w:r>
      <w:r w:rsidRPr="003C6435">
        <w:rPr>
          <w:color w:val="000000"/>
          <w:kern w:val="0"/>
          <w:sz w:val="18"/>
          <w:szCs w:val="18"/>
        </w:rPr>
        <w:t>;</w:t>
      </w:r>
      <w:r w:rsidR="00481883" w:rsidRPr="003C6435">
        <w:rPr>
          <w:color w:val="000000"/>
          <w:kern w:val="0"/>
          <w:sz w:val="18"/>
          <w:szCs w:val="18"/>
        </w:rPr>
        <w:t xml:space="preserve"> 5.</w:t>
      </w:r>
      <w:r w:rsidRPr="006F5C04">
        <w:rPr>
          <w:color w:val="000000"/>
          <w:kern w:val="0"/>
          <w:sz w:val="18"/>
          <w:szCs w:val="18"/>
        </w:rPr>
        <w:t>Subject Matter of Litigation (Theory of Subject Matter of Litigation)</w:t>
      </w:r>
      <w:r w:rsidRPr="003C6435">
        <w:rPr>
          <w:color w:val="000000"/>
          <w:kern w:val="0"/>
          <w:sz w:val="18"/>
          <w:szCs w:val="18"/>
        </w:rPr>
        <w:t>;</w:t>
      </w:r>
      <w:r w:rsidR="00481883" w:rsidRPr="003C6435">
        <w:rPr>
          <w:color w:val="000000"/>
          <w:kern w:val="0"/>
          <w:sz w:val="18"/>
          <w:szCs w:val="18"/>
        </w:rPr>
        <w:t xml:space="preserve"> 6.</w:t>
      </w:r>
      <w:r w:rsidRPr="006F5C04">
        <w:rPr>
          <w:color w:val="000000"/>
          <w:kern w:val="0"/>
          <w:sz w:val="18"/>
          <w:szCs w:val="18"/>
        </w:rPr>
        <w:t>Conditions for Filing a Lawsuit (Interest in the Lawsuit, Standing of the Parties)</w:t>
      </w:r>
      <w:r w:rsidRPr="003C6435">
        <w:rPr>
          <w:color w:val="000000"/>
          <w:kern w:val="0"/>
          <w:sz w:val="18"/>
          <w:szCs w:val="18"/>
        </w:rPr>
        <w:t>;</w:t>
      </w:r>
      <w:r w:rsidR="001801F1" w:rsidRPr="003C6435">
        <w:rPr>
          <w:color w:val="000000"/>
          <w:kern w:val="0"/>
          <w:sz w:val="18"/>
          <w:szCs w:val="18"/>
        </w:rPr>
        <w:t xml:space="preserve"> 7.</w:t>
      </w:r>
      <w:r w:rsidRPr="006F5C04">
        <w:rPr>
          <w:color w:val="000000"/>
          <w:kern w:val="0"/>
          <w:sz w:val="18"/>
          <w:szCs w:val="18"/>
        </w:rPr>
        <w:t xml:space="preserve">Parties' Debate Activities and the Court's Functions (Doctrine of Disposition, Adversarial System, </w:t>
      </w:r>
      <w:r w:rsidR="00240EDD" w:rsidRPr="003C6435">
        <w:rPr>
          <w:color w:val="000000"/>
          <w:kern w:val="0"/>
          <w:sz w:val="18"/>
          <w:szCs w:val="18"/>
        </w:rPr>
        <w:t>Amtsbetrieb</w:t>
      </w:r>
      <w:r w:rsidRPr="006F5C04">
        <w:rPr>
          <w:color w:val="000000"/>
          <w:kern w:val="0"/>
          <w:sz w:val="18"/>
          <w:szCs w:val="18"/>
        </w:rPr>
        <w:t>)</w:t>
      </w:r>
      <w:r w:rsidRPr="003C6435">
        <w:rPr>
          <w:color w:val="000000"/>
          <w:kern w:val="0"/>
          <w:sz w:val="18"/>
          <w:szCs w:val="18"/>
        </w:rPr>
        <w:t>;</w:t>
      </w:r>
      <w:r w:rsidR="001801F1" w:rsidRPr="003C6435">
        <w:rPr>
          <w:color w:val="000000"/>
          <w:kern w:val="0"/>
          <w:sz w:val="18"/>
          <w:szCs w:val="18"/>
        </w:rPr>
        <w:t xml:space="preserve"> 8.</w:t>
      </w:r>
      <w:r w:rsidRPr="006F5C04">
        <w:rPr>
          <w:color w:val="000000"/>
          <w:kern w:val="0"/>
          <w:sz w:val="18"/>
          <w:szCs w:val="18"/>
        </w:rPr>
        <w:t>Oral Arguments and Preparation Procedures (Principles of Hearing, Hearings, Separation and Consolidation of Arguments)</w:t>
      </w:r>
      <w:r w:rsidRPr="003C6435">
        <w:rPr>
          <w:color w:val="000000"/>
          <w:kern w:val="0"/>
          <w:sz w:val="18"/>
          <w:szCs w:val="18"/>
        </w:rPr>
        <w:t>;</w:t>
      </w:r>
      <w:r w:rsidR="001801F1" w:rsidRPr="003C6435">
        <w:rPr>
          <w:color w:val="000000"/>
          <w:kern w:val="0"/>
          <w:sz w:val="18"/>
          <w:szCs w:val="18"/>
        </w:rPr>
        <w:t xml:space="preserve"> 9.</w:t>
      </w:r>
      <w:r w:rsidRPr="006F5C04">
        <w:rPr>
          <w:color w:val="000000"/>
          <w:kern w:val="0"/>
          <w:sz w:val="18"/>
          <w:szCs w:val="18"/>
        </w:rPr>
        <w:t>Evidence (General and Special Topics of Evidence Law)</w:t>
      </w:r>
      <w:r w:rsidRPr="003C6435">
        <w:rPr>
          <w:color w:val="000000"/>
          <w:kern w:val="0"/>
          <w:sz w:val="18"/>
          <w:szCs w:val="18"/>
        </w:rPr>
        <w:t>;</w:t>
      </w:r>
      <w:r w:rsidR="001801F1" w:rsidRPr="003C6435">
        <w:rPr>
          <w:color w:val="000000"/>
          <w:kern w:val="0"/>
          <w:sz w:val="18"/>
          <w:szCs w:val="18"/>
        </w:rPr>
        <w:t xml:space="preserve"> 10.</w:t>
      </w:r>
      <w:r w:rsidRPr="006F5C04">
        <w:rPr>
          <w:color w:val="000000"/>
          <w:kern w:val="0"/>
          <w:sz w:val="18"/>
          <w:szCs w:val="18"/>
        </w:rPr>
        <w:t>Termination of Litigation Based on the Actions of the Parties (Withdrawal of Lawsuit, Waiver of Claims and Admission, Settlement in Judgments)</w:t>
      </w:r>
      <w:r w:rsidRPr="003C6435">
        <w:rPr>
          <w:color w:val="000000"/>
          <w:kern w:val="0"/>
          <w:sz w:val="18"/>
          <w:szCs w:val="18"/>
        </w:rPr>
        <w:t>;</w:t>
      </w:r>
      <w:r w:rsidR="001801F1" w:rsidRPr="003C6435">
        <w:rPr>
          <w:color w:val="000000"/>
          <w:kern w:val="0"/>
          <w:sz w:val="18"/>
          <w:szCs w:val="18"/>
        </w:rPr>
        <w:t xml:space="preserve"> 11.</w:t>
      </w:r>
      <w:r w:rsidRPr="006F5C04">
        <w:rPr>
          <w:color w:val="000000"/>
          <w:kern w:val="0"/>
          <w:sz w:val="18"/>
          <w:szCs w:val="18"/>
        </w:rPr>
        <w:t>Termination of Litigation Based on Court Judgment (Res Judicata, Enforceability, Constructive Effect, Issue Preclusion, Collateral Estoppel)</w:t>
      </w:r>
      <w:r w:rsidRPr="003C6435">
        <w:rPr>
          <w:color w:val="000000"/>
          <w:kern w:val="0"/>
          <w:sz w:val="18"/>
          <w:szCs w:val="18"/>
        </w:rPr>
        <w:t>;</w:t>
      </w:r>
      <w:r w:rsidR="00531D4E" w:rsidRPr="003C6435">
        <w:rPr>
          <w:color w:val="000000"/>
          <w:kern w:val="0"/>
          <w:sz w:val="18"/>
          <w:szCs w:val="18"/>
        </w:rPr>
        <w:t xml:space="preserve"> 12.</w:t>
      </w:r>
      <w:r w:rsidRPr="006F5C04">
        <w:rPr>
          <w:color w:val="000000"/>
          <w:kern w:val="0"/>
          <w:sz w:val="18"/>
          <w:szCs w:val="18"/>
        </w:rPr>
        <w:t>Appeal and Reexamination</w:t>
      </w:r>
      <w:r w:rsidRPr="003C6435">
        <w:rPr>
          <w:color w:val="000000"/>
          <w:kern w:val="0"/>
          <w:sz w:val="18"/>
          <w:szCs w:val="18"/>
        </w:rPr>
        <w:t>;</w:t>
      </w:r>
      <w:r w:rsidR="00531D4E" w:rsidRPr="003C6435">
        <w:rPr>
          <w:color w:val="000000"/>
          <w:kern w:val="0"/>
          <w:sz w:val="18"/>
          <w:szCs w:val="18"/>
        </w:rPr>
        <w:t xml:space="preserve"> 13.</w:t>
      </w:r>
      <w:r w:rsidRPr="006F5C04">
        <w:rPr>
          <w:color w:val="000000"/>
          <w:kern w:val="0"/>
          <w:sz w:val="18"/>
          <w:szCs w:val="18"/>
        </w:rPr>
        <w:t>Lawsuits Involving Multiple Parties (Consolidation and Change of Lawsuits, Counterclaims, Suits for Declaratory Judgments)</w:t>
      </w:r>
      <w:r w:rsidRPr="003C6435">
        <w:rPr>
          <w:color w:val="000000"/>
          <w:kern w:val="0"/>
          <w:sz w:val="18"/>
          <w:szCs w:val="18"/>
        </w:rPr>
        <w:t>;</w:t>
      </w:r>
      <w:r w:rsidR="00531D4E" w:rsidRPr="003C6435">
        <w:rPr>
          <w:color w:val="000000"/>
          <w:kern w:val="0"/>
          <w:sz w:val="18"/>
          <w:szCs w:val="18"/>
        </w:rPr>
        <w:t xml:space="preserve"> 14.</w:t>
      </w:r>
      <w:r w:rsidRPr="006F5C04">
        <w:rPr>
          <w:color w:val="000000"/>
          <w:kern w:val="0"/>
          <w:sz w:val="18"/>
          <w:szCs w:val="18"/>
        </w:rPr>
        <w:t>Litigation Involving Multiple Claims (Class Action, Intervention in Lawsuits)</w:t>
      </w:r>
      <w:r w:rsidRPr="003C6435">
        <w:rPr>
          <w:color w:val="000000"/>
          <w:kern w:val="0"/>
          <w:sz w:val="18"/>
          <w:szCs w:val="18"/>
        </w:rPr>
        <w:t>;</w:t>
      </w:r>
      <w:r w:rsidR="00531D4E" w:rsidRPr="003C6435">
        <w:rPr>
          <w:color w:val="000000"/>
          <w:kern w:val="0"/>
          <w:sz w:val="18"/>
          <w:szCs w:val="18"/>
        </w:rPr>
        <w:t xml:space="preserve"> 15.</w:t>
      </w:r>
      <w:r w:rsidRPr="006F5C04">
        <w:rPr>
          <w:color w:val="000000"/>
          <w:kern w:val="0"/>
          <w:sz w:val="18"/>
          <w:szCs w:val="18"/>
        </w:rPr>
        <w:t>Simplified Litigation Procedures</w:t>
      </w:r>
      <w:r w:rsidRPr="003C6435">
        <w:rPr>
          <w:color w:val="000000"/>
          <w:kern w:val="0"/>
          <w:sz w:val="18"/>
          <w:szCs w:val="18"/>
        </w:rPr>
        <w:t>;</w:t>
      </w:r>
      <w:r w:rsidR="00531D4E" w:rsidRPr="003C6435">
        <w:rPr>
          <w:color w:val="000000"/>
          <w:kern w:val="0"/>
          <w:sz w:val="18"/>
          <w:szCs w:val="18"/>
        </w:rPr>
        <w:t xml:space="preserve"> 16.</w:t>
      </w:r>
      <w:r w:rsidRPr="006F5C04">
        <w:rPr>
          <w:color w:val="000000"/>
          <w:kern w:val="0"/>
          <w:sz w:val="18"/>
          <w:szCs w:val="18"/>
        </w:rPr>
        <w:t>Modern Reforms in Japanese Civil Procedure Law.</w:t>
      </w:r>
    </w:p>
    <w:sectPr w:rsidR="00651FC5" w:rsidRPr="003C6435">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71A6F" w14:textId="77777777" w:rsidR="00701D68" w:rsidRDefault="00701D68">
      <w:r>
        <w:separator/>
      </w:r>
    </w:p>
  </w:endnote>
  <w:endnote w:type="continuationSeparator" w:id="0">
    <w:p w14:paraId="32766D92" w14:textId="77777777" w:rsidR="00701D68" w:rsidRDefault="0070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38B9" w14:textId="698F10E8" w:rsidR="00651FC5" w:rsidRDefault="00000000">
    <w:pPr>
      <w:pStyle w:val="a3"/>
      <w:jc w:val="right"/>
    </w:pPr>
    <w:r>
      <w:fldChar w:fldCharType="begin"/>
    </w:r>
    <w:r>
      <w:instrText xml:space="preserve"> PAGE   \* MERGEFORMAT </w:instrText>
    </w:r>
    <w:r>
      <w:fldChar w:fldCharType="separate"/>
    </w:r>
    <w:r>
      <w:rPr>
        <w:lang w:val="zh-CN"/>
      </w:rPr>
      <w:t>1</w:t>
    </w:r>
    <w:r>
      <w:fldChar w:fldCharType="end"/>
    </w:r>
  </w:p>
  <w:p w14:paraId="356038BA" w14:textId="77777777" w:rsidR="00651FC5" w:rsidRDefault="00651FC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BD3B" w14:textId="77777777" w:rsidR="00701D68" w:rsidRDefault="00701D68">
      <w:r>
        <w:separator/>
      </w:r>
    </w:p>
  </w:footnote>
  <w:footnote w:type="continuationSeparator" w:id="0">
    <w:p w14:paraId="56E58E08" w14:textId="77777777" w:rsidR="00701D68" w:rsidRDefault="00701D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0B81E07"/>
    <w:rsid w:val="00031D96"/>
    <w:rsid w:val="00037D8C"/>
    <w:rsid w:val="0004555B"/>
    <w:rsid w:val="00083699"/>
    <w:rsid w:val="00087FBA"/>
    <w:rsid w:val="000903D7"/>
    <w:rsid w:val="000A2988"/>
    <w:rsid w:val="000B3E1A"/>
    <w:rsid w:val="000C07DD"/>
    <w:rsid w:val="000D7F5C"/>
    <w:rsid w:val="000D7F6A"/>
    <w:rsid w:val="000E0757"/>
    <w:rsid w:val="000E2261"/>
    <w:rsid w:val="000F1CE7"/>
    <w:rsid w:val="000F3A35"/>
    <w:rsid w:val="0011246C"/>
    <w:rsid w:val="00112D2D"/>
    <w:rsid w:val="001359E4"/>
    <w:rsid w:val="00146D3B"/>
    <w:rsid w:val="00172D39"/>
    <w:rsid w:val="001801F1"/>
    <w:rsid w:val="001838E0"/>
    <w:rsid w:val="00192FAA"/>
    <w:rsid w:val="001A3B7B"/>
    <w:rsid w:val="001A7565"/>
    <w:rsid w:val="001D50DC"/>
    <w:rsid w:val="001E58FB"/>
    <w:rsid w:val="001E66B2"/>
    <w:rsid w:val="00202274"/>
    <w:rsid w:val="0021429E"/>
    <w:rsid w:val="0023262C"/>
    <w:rsid w:val="00240EDD"/>
    <w:rsid w:val="00263B38"/>
    <w:rsid w:val="002801B8"/>
    <w:rsid w:val="00283BD9"/>
    <w:rsid w:val="002A6051"/>
    <w:rsid w:val="002A7998"/>
    <w:rsid w:val="002C25EF"/>
    <w:rsid w:val="002E0298"/>
    <w:rsid w:val="002E3C0F"/>
    <w:rsid w:val="002E4ABD"/>
    <w:rsid w:val="002E565B"/>
    <w:rsid w:val="00303C76"/>
    <w:rsid w:val="00323002"/>
    <w:rsid w:val="00333B03"/>
    <w:rsid w:val="00362DB5"/>
    <w:rsid w:val="00363B57"/>
    <w:rsid w:val="00377361"/>
    <w:rsid w:val="003847E5"/>
    <w:rsid w:val="003A3069"/>
    <w:rsid w:val="003A4C52"/>
    <w:rsid w:val="003B0316"/>
    <w:rsid w:val="003B63BA"/>
    <w:rsid w:val="003C6435"/>
    <w:rsid w:val="003C6622"/>
    <w:rsid w:val="003D7292"/>
    <w:rsid w:val="003F63BB"/>
    <w:rsid w:val="00401B17"/>
    <w:rsid w:val="004146AA"/>
    <w:rsid w:val="004300FC"/>
    <w:rsid w:val="00435B43"/>
    <w:rsid w:val="0044734B"/>
    <w:rsid w:val="00452A69"/>
    <w:rsid w:val="004711D6"/>
    <w:rsid w:val="00471283"/>
    <w:rsid w:val="0047336D"/>
    <w:rsid w:val="00481883"/>
    <w:rsid w:val="00487AA7"/>
    <w:rsid w:val="00490BDA"/>
    <w:rsid w:val="00491E2E"/>
    <w:rsid w:val="00495837"/>
    <w:rsid w:val="004A6468"/>
    <w:rsid w:val="004B5083"/>
    <w:rsid w:val="004C094F"/>
    <w:rsid w:val="004C1B0F"/>
    <w:rsid w:val="004D1E5D"/>
    <w:rsid w:val="004E2041"/>
    <w:rsid w:val="004E24E0"/>
    <w:rsid w:val="004F153D"/>
    <w:rsid w:val="0050099F"/>
    <w:rsid w:val="00503095"/>
    <w:rsid w:val="005134E9"/>
    <w:rsid w:val="005157ED"/>
    <w:rsid w:val="00531D4E"/>
    <w:rsid w:val="00541F28"/>
    <w:rsid w:val="00555A82"/>
    <w:rsid w:val="0056296C"/>
    <w:rsid w:val="00567BB8"/>
    <w:rsid w:val="00587636"/>
    <w:rsid w:val="00597A56"/>
    <w:rsid w:val="005A55F6"/>
    <w:rsid w:val="005D2BC4"/>
    <w:rsid w:val="005E0693"/>
    <w:rsid w:val="005F1A47"/>
    <w:rsid w:val="005F721C"/>
    <w:rsid w:val="00616CCE"/>
    <w:rsid w:val="00627293"/>
    <w:rsid w:val="00651FC5"/>
    <w:rsid w:val="00654C92"/>
    <w:rsid w:val="00655B5E"/>
    <w:rsid w:val="0065622D"/>
    <w:rsid w:val="00675E2D"/>
    <w:rsid w:val="006B4C7E"/>
    <w:rsid w:val="006C31C3"/>
    <w:rsid w:val="006C6373"/>
    <w:rsid w:val="006D326D"/>
    <w:rsid w:val="006D5091"/>
    <w:rsid w:val="006E2B0A"/>
    <w:rsid w:val="00701D68"/>
    <w:rsid w:val="00706A72"/>
    <w:rsid w:val="00723F6A"/>
    <w:rsid w:val="007575CA"/>
    <w:rsid w:val="00761406"/>
    <w:rsid w:val="007B0A0A"/>
    <w:rsid w:val="007B672D"/>
    <w:rsid w:val="007C1FD9"/>
    <w:rsid w:val="007C2796"/>
    <w:rsid w:val="007E40F2"/>
    <w:rsid w:val="007E7EC1"/>
    <w:rsid w:val="00802278"/>
    <w:rsid w:val="00840377"/>
    <w:rsid w:val="00841336"/>
    <w:rsid w:val="00854B86"/>
    <w:rsid w:val="0087727C"/>
    <w:rsid w:val="00893958"/>
    <w:rsid w:val="008A406F"/>
    <w:rsid w:val="008C20EE"/>
    <w:rsid w:val="008C411F"/>
    <w:rsid w:val="008E37AF"/>
    <w:rsid w:val="008E4D82"/>
    <w:rsid w:val="008E7984"/>
    <w:rsid w:val="008E7AD2"/>
    <w:rsid w:val="008F65A0"/>
    <w:rsid w:val="009038E6"/>
    <w:rsid w:val="00905DCE"/>
    <w:rsid w:val="00916103"/>
    <w:rsid w:val="009164D0"/>
    <w:rsid w:val="00916A98"/>
    <w:rsid w:val="009268A6"/>
    <w:rsid w:val="00967DC4"/>
    <w:rsid w:val="00967E42"/>
    <w:rsid w:val="00970F1C"/>
    <w:rsid w:val="00971889"/>
    <w:rsid w:val="00972952"/>
    <w:rsid w:val="00980CA2"/>
    <w:rsid w:val="009810FB"/>
    <w:rsid w:val="00987B93"/>
    <w:rsid w:val="009A2A74"/>
    <w:rsid w:val="009B10C1"/>
    <w:rsid w:val="009C2C52"/>
    <w:rsid w:val="009E206B"/>
    <w:rsid w:val="009E6D4F"/>
    <w:rsid w:val="009F0952"/>
    <w:rsid w:val="00A210C4"/>
    <w:rsid w:val="00A575AB"/>
    <w:rsid w:val="00A652DB"/>
    <w:rsid w:val="00A77219"/>
    <w:rsid w:val="00A83131"/>
    <w:rsid w:val="00A8567D"/>
    <w:rsid w:val="00AA0807"/>
    <w:rsid w:val="00AA42CC"/>
    <w:rsid w:val="00AA4FA0"/>
    <w:rsid w:val="00AB061D"/>
    <w:rsid w:val="00AB5BC4"/>
    <w:rsid w:val="00AE0008"/>
    <w:rsid w:val="00B01658"/>
    <w:rsid w:val="00B07B69"/>
    <w:rsid w:val="00B25FFA"/>
    <w:rsid w:val="00B2777B"/>
    <w:rsid w:val="00B41A23"/>
    <w:rsid w:val="00B44A79"/>
    <w:rsid w:val="00B46FCA"/>
    <w:rsid w:val="00B53E27"/>
    <w:rsid w:val="00B63A82"/>
    <w:rsid w:val="00B73875"/>
    <w:rsid w:val="00B76F4B"/>
    <w:rsid w:val="00B84877"/>
    <w:rsid w:val="00BA5161"/>
    <w:rsid w:val="00BA6BF2"/>
    <w:rsid w:val="00BB04F0"/>
    <w:rsid w:val="00BB4BBB"/>
    <w:rsid w:val="00BE02B4"/>
    <w:rsid w:val="00BE223B"/>
    <w:rsid w:val="00BF194E"/>
    <w:rsid w:val="00C03293"/>
    <w:rsid w:val="00C1750B"/>
    <w:rsid w:val="00C206DC"/>
    <w:rsid w:val="00C2080A"/>
    <w:rsid w:val="00C253D6"/>
    <w:rsid w:val="00C419A6"/>
    <w:rsid w:val="00C7424F"/>
    <w:rsid w:val="00C754B5"/>
    <w:rsid w:val="00C77ECC"/>
    <w:rsid w:val="00C855AA"/>
    <w:rsid w:val="00CA41C5"/>
    <w:rsid w:val="00CC1EFE"/>
    <w:rsid w:val="00CD2DC3"/>
    <w:rsid w:val="00CF6EFE"/>
    <w:rsid w:val="00D6383A"/>
    <w:rsid w:val="00D702EC"/>
    <w:rsid w:val="00D8140A"/>
    <w:rsid w:val="00D8352F"/>
    <w:rsid w:val="00DA2720"/>
    <w:rsid w:val="00DB1383"/>
    <w:rsid w:val="00DC47C0"/>
    <w:rsid w:val="00DE2523"/>
    <w:rsid w:val="00DE5C06"/>
    <w:rsid w:val="00E15C13"/>
    <w:rsid w:val="00E2544C"/>
    <w:rsid w:val="00E350E6"/>
    <w:rsid w:val="00E54AA5"/>
    <w:rsid w:val="00E56856"/>
    <w:rsid w:val="00EC2BC7"/>
    <w:rsid w:val="00ED02A0"/>
    <w:rsid w:val="00EE2A85"/>
    <w:rsid w:val="00EE7A41"/>
    <w:rsid w:val="00EF3087"/>
    <w:rsid w:val="00F03237"/>
    <w:rsid w:val="00F044F5"/>
    <w:rsid w:val="00F058A3"/>
    <w:rsid w:val="00F1264E"/>
    <w:rsid w:val="00F16CDD"/>
    <w:rsid w:val="00F2154A"/>
    <w:rsid w:val="00F2514C"/>
    <w:rsid w:val="00F409FD"/>
    <w:rsid w:val="00F41C81"/>
    <w:rsid w:val="00F46268"/>
    <w:rsid w:val="00F70440"/>
    <w:rsid w:val="00F810B2"/>
    <w:rsid w:val="00F85897"/>
    <w:rsid w:val="00F8614B"/>
    <w:rsid w:val="00F94076"/>
    <w:rsid w:val="00F96513"/>
    <w:rsid w:val="00F97814"/>
    <w:rsid w:val="00FC1D73"/>
    <w:rsid w:val="00FE2884"/>
    <w:rsid w:val="00FF001E"/>
    <w:rsid w:val="00FF2B95"/>
    <w:rsid w:val="00FF63F8"/>
    <w:rsid w:val="00FF6734"/>
    <w:rsid w:val="50B81E07"/>
    <w:rsid w:val="69E30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603888"/>
  <w15:docId w15:val="{379D1113-7476-4E55-A6F0-ED40B395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link w:val="a5"/>
    <w:rsid w:val="009F0952"/>
    <w:pPr>
      <w:tabs>
        <w:tab w:val="center" w:pos="4252"/>
        <w:tab w:val="right" w:pos="8504"/>
      </w:tabs>
      <w:snapToGrid w:val="0"/>
    </w:pPr>
  </w:style>
  <w:style w:type="character" w:customStyle="1" w:styleId="a5">
    <w:name w:val="页眉 字符"/>
    <w:basedOn w:val="a0"/>
    <w:link w:val="a4"/>
    <w:rsid w:val="009F0952"/>
    <w:rPr>
      <w:rFonts w:ascii="Times New Roman" w:eastAsia="宋体" w:hAnsi="Times New Roman" w:cs="Times New Roman"/>
      <w:kern w:val="2"/>
      <w:sz w:val="21"/>
      <w:szCs w:val="22"/>
      <w:lang w:eastAsia="zh-CN"/>
    </w:rPr>
  </w:style>
  <w:style w:type="character" w:styleId="a6">
    <w:name w:val="Hyperlink"/>
    <w:basedOn w:val="a0"/>
    <w:rsid w:val="009E206B"/>
    <w:rPr>
      <w:color w:val="0563C1" w:themeColor="hyperlink"/>
      <w:u w:val="single"/>
    </w:rPr>
  </w:style>
  <w:style w:type="character" w:styleId="a7">
    <w:name w:val="Unresolved Mention"/>
    <w:basedOn w:val="a0"/>
    <w:uiPriority w:val="99"/>
    <w:semiHidden/>
    <w:unhideWhenUsed/>
    <w:rsid w:val="009E2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70847">
      <w:bodyDiv w:val="1"/>
      <w:marLeft w:val="0"/>
      <w:marRight w:val="0"/>
      <w:marTop w:val="0"/>
      <w:marBottom w:val="0"/>
      <w:divBdr>
        <w:top w:val="none" w:sz="0" w:space="0" w:color="auto"/>
        <w:left w:val="none" w:sz="0" w:space="0" w:color="auto"/>
        <w:bottom w:val="none" w:sz="0" w:space="0" w:color="auto"/>
        <w:right w:val="none" w:sz="0" w:space="0" w:color="auto"/>
      </w:divBdr>
      <w:divsChild>
        <w:div w:id="684983734">
          <w:marLeft w:val="0"/>
          <w:marRight w:val="0"/>
          <w:marTop w:val="0"/>
          <w:marBottom w:val="0"/>
          <w:divBdr>
            <w:top w:val="none" w:sz="0" w:space="0" w:color="auto"/>
            <w:left w:val="none" w:sz="0" w:space="0" w:color="auto"/>
            <w:bottom w:val="none" w:sz="0" w:space="0" w:color="auto"/>
            <w:right w:val="none" w:sz="0" w:space="0" w:color="auto"/>
          </w:divBdr>
          <w:divsChild>
            <w:div w:id="989599743">
              <w:marLeft w:val="0"/>
              <w:marRight w:val="0"/>
              <w:marTop w:val="0"/>
              <w:marBottom w:val="0"/>
              <w:divBdr>
                <w:top w:val="none" w:sz="0" w:space="0" w:color="auto"/>
                <w:left w:val="none" w:sz="0" w:space="0" w:color="auto"/>
                <w:bottom w:val="none" w:sz="0" w:space="0" w:color="auto"/>
                <w:right w:val="none" w:sz="0" w:space="0" w:color="auto"/>
              </w:divBdr>
              <w:divsChild>
                <w:div w:id="34358385">
                  <w:marLeft w:val="0"/>
                  <w:marRight w:val="0"/>
                  <w:marTop w:val="0"/>
                  <w:marBottom w:val="0"/>
                  <w:divBdr>
                    <w:top w:val="none" w:sz="0" w:space="0" w:color="auto"/>
                    <w:left w:val="none" w:sz="0" w:space="0" w:color="auto"/>
                    <w:bottom w:val="none" w:sz="0" w:space="0" w:color="auto"/>
                    <w:right w:val="none" w:sz="0" w:space="0" w:color="auto"/>
                  </w:divBdr>
                  <w:divsChild>
                    <w:div w:id="2009168291">
                      <w:marLeft w:val="0"/>
                      <w:marRight w:val="0"/>
                      <w:marTop w:val="0"/>
                      <w:marBottom w:val="0"/>
                      <w:divBdr>
                        <w:top w:val="none" w:sz="0" w:space="0" w:color="auto"/>
                        <w:left w:val="none" w:sz="0" w:space="0" w:color="auto"/>
                        <w:bottom w:val="none" w:sz="0" w:space="0" w:color="auto"/>
                        <w:right w:val="none" w:sz="0" w:space="0" w:color="auto"/>
                      </w:divBdr>
                      <w:divsChild>
                        <w:div w:id="340739273">
                          <w:marLeft w:val="0"/>
                          <w:marRight w:val="0"/>
                          <w:marTop w:val="0"/>
                          <w:marBottom w:val="0"/>
                          <w:divBdr>
                            <w:top w:val="none" w:sz="0" w:space="0" w:color="auto"/>
                            <w:left w:val="none" w:sz="0" w:space="0" w:color="auto"/>
                            <w:bottom w:val="none" w:sz="0" w:space="0" w:color="auto"/>
                            <w:right w:val="none" w:sz="0" w:space="0" w:color="auto"/>
                          </w:divBdr>
                          <w:divsChild>
                            <w:div w:id="6355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096001">
      <w:bodyDiv w:val="1"/>
      <w:marLeft w:val="0"/>
      <w:marRight w:val="0"/>
      <w:marTop w:val="0"/>
      <w:marBottom w:val="0"/>
      <w:divBdr>
        <w:top w:val="none" w:sz="0" w:space="0" w:color="auto"/>
        <w:left w:val="none" w:sz="0" w:space="0" w:color="auto"/>
        <w:bottom w:val="none" w:sz="0" w:space="0" w:color="auto"/>
        <w:right w:val="none" w:sz="0" w:space="0" w:color="auto"/>
      </w:divBdr>
    </w:div>
    <w:div w:id="1538619955">
      <w:bodyDiv w:val="1"/>
      <w:marLeft w:val="0"/>
      <w:marRight w:val="0"/>
      <w:marTop w:val="0"/>
      <w:marBottom w:val="0"/>
      <w:divBdr>
        <w:top w:val="none" w:sz="0" w:space="0" w:color="auto"/>
        <w:left w:val="none" w:sz="0" w:space="0" w:color="auto"/>
        <w:bottom w:val="none" w:sz="0" w:space="0" w:color="auto"/>
        <w:right w:val="none" w:sz="0" w:space="0" w:color="auto"/>
      </w:divBdr>
      <w:divsChild>
        <w:div w:id="361588158">
          <w:marLeft w:val="0"/>
          <w:marRight w:val="0"/>
          <w:marTop w:val="0"/>
          <w:marBottom w:val="0"/>
          <w:divBdr>
            <w:top w:val="none" w:sz="0" w:space="0" w:color="auto"/>
            <w:left w:val="none" w:sz="0" w:space="0" w:color="auto"/>
            <w:bottom w:val="none" w:sz="0" w:space="0" w:color="auto"/>
            <w:right w:val="none" w:sz="0" w:space="0" w:color="auto"/>
          </w:divBdr>
          <w:divsChild>
            <w:div w:id="62072161">
              <w:marLeft w:val="0"/>
              <w:marRight w:val="0"/>
              <w:marTop w:val="0"/>
              <w:marBottom w:val="0"/>
              <w:divBdr>
                <w:top w:val="none" w:sz="0" w:space="0" w:color="auto"/>
                <w:left w:val="none" w:sz="0" w:space="0" w:color="auto"/>
                <w:bottom w:val="none" w:sz="0" w:space="0" w:color="auto"/>
                <w:right w:val="none" w:sz="0" w:space="0" w:color="auto"/>
              </w:divBdr>
              <w:divsChild>
                <w:div w:id="181866307">
                  <w:marLeft w:val="0"/>
                  <w:marRight w:val="0"/>
                  <w:marTop w:val="0"/>
                  <w:marBottom w:val="0"/>
                  <w:divBdr>
                    <w:top w:val="none" w:sz="0" w:space="0" w:color="auto"/>
                    <w:left w:val="none" w:sz="0" w:space="0" w:color="auto"/>
                    <w:bottom w:val="none" w:sz="0" w:space="0" w:color="auto"/>
                    <w:right w:val="none" w:sz="0" w:space="0" w:color="auto"/>
                  </w:divBdr>
                  <w:divsChild>
                    <w:div w:id="2057510064">
                      <w:marLeft w:val="0"/>
                      <w:marRight w:val="0"/>
                      <w:marTop w:val="0"/>
                      <w:marBottom w:val="0"/>
                      <w:divBdr>
                        <w:top w:val="none" w:sz="0" w:space="0" w:color="auto"/>
                        <w:left w:val="none" w:sz="0" w:space="0" w:color="auto"/>
                        <w:bottom w:val="none" w:sz="0" w:space="0" w:color="auto"/>
                        <w:right w:val="none" w:sz="0" w:space="0" w:color="auto"/>
                      </w:divBdr>
                      <w:divsChild>
                        <w:div w:id="266352063">
                          <w:marLeft w:val="0"/>
                          <w:marRight w:val="0"/>
                          <w:marTop w:val="0"/>
                          <w:marBottom w:val="0"/>
                          <w:divBdr>
                            <w:top w:val="none" w:sz="0" w:space="0" w:color="auto"/>
                            <w:left w:val="none" w:sz="0" w:space="0" w:color="auto"/>
                            <w:bottom w:val="none" w:sz="0" w:space="0" w:color="auto"/>
                            <w:right w:val="none" w:sz="0" w:space="0" w:color="auto"/>
                          </w:divBdr>
                          <w:divsChild>
                            <w:div w:id="142141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56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D406186-6516-4684-9476-A1423A5DC3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1164</Words>
  <Characters>3353</Characters>
  <Application>Microsoft Office Word</Application>
  <DocSecurity>0</DocSecurity>
  <Lines>65</Lines>
  <Paragraphs>35</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田华</dc:creator>
  <cp:lastModifiedBy>wenzhe xie</cp:lastModifiedBy>
  <cp:revision>231</cp:revision>
  <cp:lastPrinted>2024-11-16T09:45:00Z</cp:lastPrinted>
  <dcterms:created xsi:type="dcterms:W3CDTF">2024-11-16T05:39:00Z</dcterms:created>
  <dcterms:modified xsi:type="dcterms:W3CDTF">2026-04-12T07:22:00Z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1033-11.2.0.9906</vt:lpwstr>
  </property>
</Properties>
</file>