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2A9D0">
      <w:pPr>
        <w:jc w:val="center"/>
        <w:rPr>
          <w:rFonts w:hint="eastAsia" w:hAnsi="宋体"/>
          <w:b/>
          <w:bCs/>
          <w:sz w:val="32"/>
          <w:szCs w:val="32"/>
        </w:rPr>
      </w:pPr>
      <w:r>
        <w:rPr>
          <w:rFonts w:hAnsi="宋体"/>
          <w:b/>
          <w:bCs/>
          <w:sz w:val="32"/>
          <w:szCs w:val="32"/>
        </w:rPr>
        <w:t>中日比较商法专题研究</w:t>
      </w:r>
    </w:p>
    <w:p w14:paraId="7ACF288E">
      <w:pPr>
        <w:jc w:val="center"/>
        <w:rPr>
          <w:rFonts w:hint="eastAsia" w:hAnsi="宋体"/>
          <w:b/>
          <w:bCs/>
          <w:sz w:val="28"/>
          <w:szCs w:val="28"/>
        </w:rPr>
      </w:pPr>
      <w:r>
        <w:rPr>
          <w:rFonts w:hAnsi="宋体"/>
          <w:sz w:val="28"/>
          <w:szCs w:val="28"/>
        </w:rPr>
        <w:t>A Comparative Study of Insurance Law in China and Japa</w:t>
      </w:r>
      <w:r>
        <w:rPr>
          <w:rFonts w:hAnsi="宋体"/>
          <w:b/>
          <w:bCs/>
          <w:sz w:val="28"/>
          <w:szCs w:val="28"/>
        </w:rPr>
        <w:t>n</w:t>
      </w:r>
    </w:p>
    <w:p w14:paraId="6C4B7B76">
      <w:pPr>
        <w:spacing w:before="100" w:beforeAutospacing="1" w:after="100" w:afterAutospacing="1"/>
        <w:rPr>
          <w:rFonts w:hint="eastAsia" w:hAnsi="宋体"/>
          <w:b/>
          <w:bCs/>
          <w:color w:val="000080"/>
          <w:sz w:val="24"/>
          <w:szCs w:val="24"/>
        </w:rPr>
      </w:pPr>
      <w:r>
        <w:rPr>
          <w:rFonts w:hint="eastAsia" w:hAnsi="宋体"/>
          <w:b/>
          <w:bCs/>
          <w:color w:val="000080"/>
          <w:sz w:val="24"/>
          <w:szCs w:val="24"/>
        </w:rPr>
        <w:t>课程主讲人简介</w:t>
      </w:r>
      <w:bookmarkStart w:id="4" w:name="_GoBack"/>
      <w:bookmarkEnd w:id="4"/>
    </w:p>
    <w:p w14:paraId="2431AEF9">
      <w:pPr>
        <w:spacing w:after="160" w:line="276" w:lineRule="auto"/>
        <w:ind w:firstLine="360" w:firstLineChars="200"/>
        <w:rPr>
          <w:rFonts w:hint="eastAsia" w:hAnsi="宋体"/>
          <w:color w:val="FF0000"/>
          <w:sz w:val="18"/>
          <w:szCs w:val="18"/>
          <w:lang w:eastAsia="ja-JP"/>
        </w:rPr>
      </w:pPr>
      <w:r>
        <w:rPr>
          <w:rFonts w:hint="eastAsia" w:hAnsi="宋体"/>
          <w:color w:val="000000"/>
          <w:sz w:val="18"/>
          <w:szCs w:val="18"/>
        </w:rPr>
        <w:t>王学士</w:t>
      </w:r>
      <w:r>
        <w:rPr>
          <w:rFonts w:hAnsi="宋体"/>
          <w:color w:val="000000"/>
          <w:sz w:val="18"/>
          <w:szCs w:val="18"/>
        </w:rPr>
        <w:t>，日本</w:t>
      </w:r>
      <w:r>
        <w:rPr>
          <w:rFonts w:hint="eastAsia" w:hAnsi="宋体"/>
          <w:color w:val="000000"/>
          <w:sz w:val="18"/>
          <w:szCs w:val="18"/>
        </w:rPr>
        <w:t>大东文化大学法学部准教授</w:t>
      </w:r>
      <w:r>
        <w:rPr>
          <w:rFonts w:hAnsi="宋体"/>
          <w:color w:val="000000"/>
          <w:sz w:val="18"/>
          <w:szCs w:val="18"/>
        </w:rPr>
        <w:t>，东京大学</w:t>
      </w:r>
      <w:r>
        <w:rPr>
          <w:rFonts w:hint="eastAsia" w:hAnsi="宋体"/>
          <w:color w:val="000000"/>
          <w:sz w:val="18"/>
          <w:szCs w:val="18"/>
        </w:rPr>
        <w:t>法学</w:t>
      </w:r>
      <w:r>
        <w:rPr>
          <w:rFonts w:hAnsi="宋体"/>
          <w:color w:val="000000"/>
          <w:sz w:val="18"/>
          <w:szCs w:val="18"/>
        </w:rPr>
        <w:t>博士。主要研究领域为</w:t>
      </w:r>
      <w:r>
        <w:rPr>
          <w:rFonts w:hint="eastAsia" w:hAnsi="宋体"/>
          <w:color w:val="000000"/>
          <w:sz w:val="18"/>
          <w:szCs w:val="18"/>
        </w:rPr>
        <w:t>日本法、公司法、保险法</w:t>
      </w:r>
      <w:r>
        <w:rPr>
          <w:rFonts w:hAnsi="宋体"/>
          <w:color w:val="000000"/>
          <w:sz w:val="18"/>
          <w:szCs w:val="18"/>
        </w:rPr>
        <w:t>。</w:t>
      </w:r>
      <w:r>
        <w:rPr>
          <w:rFonts w:hint="eastAsia" w:hAnsi="宋体"/>
          <w:color w:val="000000"/>
          <w:sz w:val="18"/>
          <w:szCs w:val="18"/>
          <w:lang w:eastAsia="ja-JP"/>
        </w:rPr>
        <w:t>王教授是日本法学界著名青年学者，学术成果丰硕，在《</w:t>
      </w:r>
      <w:r>
        <w:rPr>
          <w:rFonts w:hAnsi="宋体"/>
          <w:color w:val="000000"/>
          <w:sz w:val="18"/>
          <w:szCs w:val="18"/>
          <w:lang w:eastAsia="ja-JP"/>
        </w:rPr>
        <w:t>ジュリスト</w:t>
      </w:r>
      <w:r>
        <w:rPr>
          <w:rFonts w:hint="eastAsia" w:hAnsi="宋体"/>
          <w:color w:val="000000"/>
          <w:sz w:val="18"/>
          <w:szCs w:val="18"/>
          <w:lang w:eastAsia="ja-JP"/>
        </w:rPr>
        <w:t>（法学家，日本法学权威学术期刊）》《商事法务》等知名学术期刊发表论文多篇。王教授的博士论文获得东京大学法学政治学研究科博士论文特别优秀奖，修改后以</w:t>
      </w:r>
      <w:r>
        <w:rPr>
          <w:rFonts w:hAnsi="宋体"/>
          <w:color w:val="000000"/>
          <w:sz w:val="18"/>
          <w:szCs w:val="18"/>
          <w:lang w:eastAsia="ja-JP"/>
        </w:rPr>
        <w:t>《モラル</w:t>
      </w:r>
      <w:r>
        <w:rPr>
          <w:rFonts w:hint="eastAsia" w:ascii="微软雅黑" w:hAnsi="微软雅黑" w:eastAsia="微软雅黑" w:cs="微软雅黑"/>
          <w:color w:val="000000"/>
          <w:sz w:val="18"/>
          <w:szCs w:val="18"/>
          <w:lang w:eastAsia="ja-JP"/>
        </w:rPr>
        <w:t>・</w:t>
      </w:r>
      <w:r>
        <w:rPr>
          <w:rFonts w:hint="eastAsia" w:ascii="宋体" w:hAnsi="宋体" w:cs="宋体"/>
          <w:color w:val="000000"/>
          <w:sz w:val="18"/>
          <w:szCs w:val="18"/>
          <w:lang w:eastAsia="ja-JP"/>
        </w:rPr>
        <w:t>リスクと保険：詐欺請求をめぐる失権法理の展開（道德风险与保险：保险索赔欺诈的失权法理）</w:t>
      </w:r>
      <w:r>
        <w:rPr>
          <w:rFonts w:hAnsi="宋体"/>
          <w:color w:val="000000"/>
          <w:sz w:val="18"/>
          <w:szCs w:val="18"/>
          <w:lang w:eastAsia="ja-JP"/>
        </w:rPr>
        <w:t>》</w:t>
      </w:r>
      <w:r>
        <w:rPr>
          <w:rFonts w:hint="eastAsia" w:hAnsi="宋体"/>
          <w:color w:val="000000"/>
          <w:sz w:val="18"/>
          <w:szCs w:val="18"/>
          <w:lang w:eastAsia="ja-JP"/>
        </w:rPr>
        <w:t>为题在名古屋大学出版社出版，在日本学界引起广泛反响，刊登书评多篇</w:t>
      </w:r>
      <w:r>
        <w:rPr>
          <w:rFonts w:hAnsi="宋体"/>
          <w:color w:val="000000"/>
          <w:sz w:val="18"/>
          <w:szCs w:val="18"/>
          <w:lang w:eastAsia="ja-JP"/>
        </w:rPr>
        <w:t>。</w:t>
      </w:r>
    </w:p>
    <w:p w14:paraId="75597EE2">
      <w:pPr>
        <w:spacing w:before="100" w:beforeAutospacing="1" w:after="100" w:afterAutospacing="1"/>
        <w:rPr>
          <w:rFonts w:hint="eastAsia" w:hAnsi="宋体"/>
          <w:b/>
          <w:bCs/>
          <w:color w:val="000080"/>
          <w:sz w:val="24"/>
          <w:szCs w:val="24"/>
        </w:rPr>
      </w:pPr>
      <w:bookmarkStart w:id="0" w:name="OLE_LINK5"/>
      <w:bookmarkStart w:id="1" w:name="OLE_LINK4"/>
      <w:bookmarkStart w:id="2" w:name="OLE_LINK1"/>
      <w:bookmarkStart w:id="3" w:name="OLE_LINK2"/>
      <w:r>
        <w:rPr>
          <w:rFonts w:hAnsi="宋体"/>
          <w:b/>
          <w:bCs/>
          <w:color w:val="000080"/>
          <w:sz w:val="24"/>
          <w:szCs w:val="24"/>
        </w:rPr>
        <w:t>Profile</w:t>
      </w:r>
      <w:bookmarkEnd w:id="0"/>
      <w:bookmarkEnd w:id="1"/>
    </w:p>
    <w:bookmarkEnd w:id="2"/>
    <w:bookmarkEnd w:id="3"/>
    <w:p w14:paraId="75F93C8E">
      <w:pPr>
        <w:spacing w:after="160" w:line="276" w:lineRule="auto"/>
        <w:ind w:firstLine="360" w:firstLineChars="200"/>
        <w:rPr>
          <w:color w:val="000000"/>
          <w:sz w:val="18"/>
          <w:szCs w:val="18"/>
        </w:rPr>
      </w:pPr>
      <w:r>
        <w:rPr>
          <w:color w:val="000000"/>
          <w:sz w:val="18"/>
          <w:szCs w:val="18"/>
        </w:rPr>
        <w:t>Wang Xue</w:t>
      </w:r>
      <w:r>
        <w:rPr>
          <w:rFonts w:hint="eastAsia"/>
          <w:color w:val="000000"/>
          <w:sz w:val="18"/>
          <w:szCs w:val="18"/>
        </w:rPr>
        <w:t>s</w:t>
      </w:r>
      <w:r>
        <w:rPr>
          <w:color w:val="000000"/>
          <w:sz w:val="18"/>
          <w:szCs w:val="18"/>
        </w:rPr>
        <w:t>hi, Associate Professor at the Faculty of Law, Daito Bunka University, Japan, and holds a Ph.D. in Law from the University of Tokyo. His main research areas include Japanese Law, Company Law, and Insurance Law.</w:t>
      </w:r>
      <w:r>
        <w:rPr>
          <w:rFonts w:hint="eastAsia"/>
          <w:color w:val="000000"/>
          <w:sz w:val="18"/>
          <w:szCs w:val="18"/>
        </w:rPr>
        <w:t xml:space="preserve"> </w:t>
      </w:r>
      <w:r>
        <w:rPr>
          <w:color w:val="000000"/>
          <w:sz w:val="18"/>
          <w:szCs w:val="18"/>
        </w:rPr>
        <w:t>Professor Wang is a renowned young scholar in the Japanese legal community with substantial academic achievements, having published numerous articles in prominent academic journals such as Jurist, an authoritative Japanese law journal and Shoji Homu (Commercial Law Review).Professor Wang's doctoral dissertation was awarded the Special Excellence Prize for doctoral dissertations by the Graduate School of Law and Politics at the University of Tokyo. Revised and published under the title Moral Hazard and Insurance: The Development of Forfeiture Doctrine Concerning Fraudulent Claims by Nagoya University Press, it garnered widespread attention and was the subject of multiple book reviews in Japanese academia.</w:t>
      </w:r>
    </w:p>
    <w:tbl>
      <w:tblPr>
        <w:tblStyle w:val="4"/>
        <w:tblpPr w:leftFromText="180" w:rightFromText="180" w:vertAnchor="text" w:horzAnchor="margin" w:tblpY="5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4678"/>
      </w:tblGrid>
      <w:tr w14:paraId="1D8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653B5C67">
            <w:pPr>
              <w:spacing w:after="160"/>
              <w:rPr>
                <w:b/>
                <w:bCs/>
                <w:color w:val="1F497D"/>
                <w:sz w:val="15"/>
                <w:szCs w:val="15"/>
              </w:rPr>
            </w:pPr>
            <w:r>
              <w:rPr>
                <w:rFonts w:hAnsi="宋体"/>
                <w:b/>
                <w:bCs/>
                <w:color w:val="1F497D"/>
                <w:sz w:val="15"/>
                <w:szCs w:val="15"/>
              </w:rPr>
              <w:t>院系</w:t>
            </w:r>
            <w:r>
              <w:rPr>
                <w:b/>
                <w:bCs/>
                <w:color w:val="1F497D"/>
                <w:sz w:val="15"/>
                <w:szCs w:val="15"/>
              </w:rPr>
              <w:t xml:space="preserve"> </w:t>
            </w:r>
            <w:r>
              <w:rPr>
                <w:rFonts w:hint="eastAsia"/>
                <w:b/>
                <w:bCs/>
                <w:color w:val="1F497D"/>
                <w:sz w:val="15"/>
                <w:szCs w:val="15"/>
              </w:rPr>
              <w:t xml:space="preserve"> </w:t>
            </w:r>
            <w:r>
              <w:rPr>
                <w:b/>
                <w:bCs/>
                <w:color w:val="1F497D"/>
                <w:sz w:val="15"/>
                <w:szCs w:val="15"/>
              </w:rPr>
              <w:t>School</w:t>
            </w:r>
          </w:p>
        </w:tc>
        <w:tc>
          <w:tcPr>
            <w:tcW w:w="4678" w:type="dxa"/>
            <w:vAlign w:val="center"/>
          </w:tcPr>
          <w:p w14:paraId="3154CEBC">
            <w:pPr>
              <w:spacing w:after="160"/>
              <w:rPr>
                <w:color w:val="000000"/>
                <w:sz w:val="15"/>
                <w:szCs w:val="15"/>
              </w:rPr>
            </w:pPr>
            <w:r>
              <w:rPr>
                <w:rFonts w:hAnsi="宋体"/>
                <w:color w:val="000000"/>
                <w:sz w:val="15"/>
                <w:szCs w:val="15"/>
              </w:rPr>
              <w:t>法律学院 (School</w:t>
            </w:r>
            <w:r>
              <w:rPr>
                <w:rFonts w:hint="eastAsia" w:hAnsi="宋体"/>
                <w:color w:val="000000"/>
                <w:sz w:val="15"/>
                <w:szCs w:val="15"/>
              </w:rPr>
              <w:t xml:space="preserve"> of Law</w:t>
            </w:r>
            <w:r>
              <w:rPr>
                <w:rFonts w:hAnsi="宋体"/>
                <w:color w:val="000000"/>
                <w:sz w:val="15"/>
                <w:szCs w:val="15"/>
              </w:rPr>
              <w:t>)</w:t>
            </w:r>
          </w:p>
        </w:tc>
      </w:tr>
      <w:tr w14:paraId="4247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16EB3A86">
            <w:pPr>
              <w:spacing w:after="160"/>
              <w:rPr>
                <w:b/>
                <w:bCs/>
                <w:color w:val="1F497D"/>
                <w:sz w:val="15"/>
                <w:szCs w:val="15"/>
              </w:rPr>
            </w:pPr>
            <w:r>
              <w:rPr>
                <w:rFonts w:hAnsi="宋体"/>
                <w:b/>
                <w:bCs/>
                <w:color w:val="1F497D"/>
                <w:sz w:val="15"/>
                <w:szCs w:val="15"/>
              </w:rPr>
              <w:t>学科门类</w:t>
            </w:r>
            <w:r>
              <w:rPr>
                <w:b/>
                <w:bCs/>
                <w:color w:val="1F497D"/>
                <w:sz w:val="15"/>
                <w:szCs w:val="15"/>
              </w:rPr>
              <w:t xml:space="preserve"> Fields of Study</w:t>
            </w:r>
          </w:p>
        </w:tc>
        <w:tc>
          <w:tcPr>
            <w:tcW w:w="4678" w:type="dxa"/>
            <w:vAlign w:val="center"/>
          </w:tcPr>
          <w:p w14:paraId="5930DAD4">
            <w:pPr>
              <w:spacing w:after="160"/>
              <w:rPr>
                <w:color w:val="000000"/>
                <w:sz w:val="15"/>
                <w:szCs w:val="15"/>
              </w:rPr>
            </w:pPr>
            <w:r>
              <w:rPr>
                <w:rFonts w:hAnsi="宋体"/>
                <w:color w:val="000000"/>
                <w:sz w:val="15"/>
                <w:szCs w:val="15"/>
              </w:rPr>
              <w:t>法学 (Law)</w:t>
            </w:r>
          </w:p>
        </w:tc>
      </w:tr>
      <w:tr w14:paraId="6DA4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5A91174B">
            <w:pPr>
              <w:spacing w:after="160"/>
              <w:rPr>
                <w:b/>
                <w:bCs/>
                <w:color w:val="1F497D"/>
                <w:sz w:val="15"/>
                <w:szCs w:val="15"/>
              </w:rPr>
            </w:pPr>
            <w:r>
              <w:rPr>
                <w:rFonts w:hAnsi="宋体"/>
                <w:b/>
                <w:bCs/>
                <w:color w:val="1F497D"/>
                <w:sz w:val="15"/>
                <w:szCs w:val="15"/>
              </w:rPr>
              <w:t>所属一级学科名称</w:t>
            </w:r>
            <w:r>
              <w:rPr>
                <w:b/>
                <w:bCs/>
                <w:color w:val="1F497D"/>
                <w:sz w:val="15"/>
                <w:szCs w:val="15"/>
              </w:rPr>
              <w:t xml:space="preserve"> Disciplines</w:t>
            </w:r>
          </w:p>
        </w:tc>
        <w:tc>
          <w:tcPr>
            <w:tcW w:w="4678" w:type="dxa"/>
            <w:vAlign w:val="center"/>
          </w:tcPr>
          <w:p w14:paraId="0B379036">
            <w:pPr>
              <w:spacing w:after="160"/>
              <w:rPr>
                <w:color w:val="000000"/>
                <w:sz w:val="15"/>
                <w:szCs w:val="15"/>
              </w:rPr>
            </w:pPr>
            <w:r>
              <w:rPr>
                <w:rFonts w:hAnsi="宋体"/>
                <w:color w:val="000000"/>
                <w:sz w:val="15"/>
                <w:szCs w:val="15"/>
              </w:rPr>
              <w:t>法学 (Law)</w:t>
            </w:r>
          </w:p>
        </w:tc>
      </w:tr>
      <w:tr w14:paraId="5DD4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4A93A632">
            <w:pPr>
              <w:spacing w:after="160"/>
              <w:rPr>
                <w:b/>
                <w:bCs/>
                <w:color w:val="1F497D"/>
                <w:sz w:val="15"/>
                <w:szCs w:val="15"/>
              </w:rPr>
            </w:pPr>
            <w:r>
              <w:rPr>
                <w:rFonts w:hAnsi="宋体"/>
                <w:b/>
                <w:bCs/>
                <w:color w:val="1F497D"/>
                <w:sz w:val="15"/>
                <w:szCs w:val="15"/>
              </w:rPr>
              <w:t>所属二级学科名称</w:t>
            </w:r>
            <w:r>
              <w:rPr>
                <w:b/>
                <w:bCs/>
                <w:color w:val="1F497D"/>
                <w:sz w:val="15"/>
                <w:szCs w:val="15"/>
              </w:rPr>
              <w:t xml:space="preserve"> Sub-Disciplines</w:t>
            </w:r>
          </w:p>
        </w:tc>
        <w:tc>
          <w:tcPr>
            <w:tcW w:w="4678" w:type="dxa"/>
            <w:vAlign w:val="center"/>
          </w:tcPr>
          <w:p w14:paraId="1D5B979F">
            <w:pPr>
              <w:spacing w:after="160"/>
              <w:rPr>
                <w:color w:val="000000"/>
                <w:sz w:val="15"/>
                <w:szCs w:val="15"/>
              </w:rPr>
            </w:pPr>
            <w:r>
              <w:rPr>
                <w:rFonts w:hint="eastAsia" w:hAnsi="宋体"/>
                <w:color w:val="000000"/>
                <w:sz w:val="15"/>
                <w:szCs w:val="15"/>
              </w:rPr>
              <w:t>民法（civil law）</w:t>
            </w:r>
          </w:p>
        </w:tc>
      </w:tr>
      <w:tr w14:paraId="57EF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374835A7">
            <w:pPr>
              <w:spacing w:after="160"/>
              <w:rPr>
                <w:rFonts w:hint="eastAsia" w:hAnsi="宋体"/>
                <w:b/>
                <w:bCs/>
                <w:color w:val="1F497D"/>
                <w:sz w:val="15"/>
                <w:szCs w:val="15"/>
              </w:rPr>
            </w:pPr>
            <w:r>
              <w:rPr>
                <w:rFonts w:hint="eastAsia" w:hAnsi="宋体"/>
                <w:b/>
                <w:bCs/>
                <w:color w:val="1F497D"/>
                <w:sz w:val="15"/>
                <w:szCs w:val="15"/>
              </w:rPr>
              <w:t>先修课程</w:t>
            </w:r>
            <w:r>
              <w:rPr>
                <w:b/>
                <w:bCs/>
                <w:color w:val="1F497D"/>
                <w:sz w:val="15"/>
                <w:szCs w:val="15"/>
              </w:rPr>
              <w:t xml:space="preserve"> Prerequisites</w:t>
            </w:r>
          </w:p>
        </w:tc>
        <w:tc>
          <w:tcPr>
            <w:tcW w:w="4678" w:type="dxa"/>
            <w:vAlign w:val="center"/>
          </w:tcPr>
          <w:p w14:paraId="683F1AB0">
            <w:pPr>
              <w:spacing w:after="160"/>
              <w:rPr>
                <w:rFonts w:hint="eastAsia" w:hAnsi="宋体"/>
                <w:color w:val="000000"/>
                <w:sz w:val="15"/>
                <w:szCs w:val="15"/>
              </w:rPr>
            </w:pPr>
            <w:r>
              <w:rPr>
                <w:color w:val="000000"/>
                <w:sz w:val="15"/>
                <w:szCs w:val="15"/>
              </w:rPr>
              <w:t>无 (None)</w:t>
            </w:r>
          </w:p>
        </w:tc>
      </w:tr>
      <w:tr w14:paraId="686D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221931E5">
            <w:pPr>
              <w:spacing w:after="160" w:line="240" w:lineRule="exact"/>
              <w:rPr>
                <w:b/>
                <w:bCs/>
                <w:color w:val="1F497D"/>
                <w:sz w:val="15"/>
                <w:szCs w:val="15"/>
              </w:rPr>
            </w:pPr>
            <w:r>
              <w:rPr>
                <w:rFonts w:hAnsi="宋体"/>
                <w:b/>
                <w:bCs/>
                <w:color w:val="1F497D"/>
                <w:sz w:val="15"/>
                <w:szCs w:val="15"/>
              </w:rPr>
              <w:t>选课对象</w:t>
            </w:r>
            <w:r>
              <w:rPr>
                <w:b/>
                <w:bCs/>
                <w:color w:val="1F497D"/>
                <w:sz w:val="15"/>
                <w:szCs w:val="15"/>
              </w:rPr>
              <w:t xml:space="preserve"> Registration Recommendations</w:t>
            </w:r>
          </w:p>
        </w:tc>
        <w:tc>
          <w:tcPr>
            <w:tcW w:w="4678" w:type="dxa"/>
            <w:vAlign w:val="center"/>
          </w:tcPr>
          <w:p w14:paraId="3B9BF0B0">
            <w:pPr>
              <w:spacing w:after="160"/>
              <w:rPr>
                <w:color w:val="000000"/>
                <w:sz w:val="15"/>
                <w:szCs w:val="15"/>
              </w:rPr>
            </w:pPr>
            <w:r>
              <w:rPr>
                <w:rFonts w:hAnsi="宋体"/>
                <w:color w:val="000000"/>
                <w:sz w:val="15"/>
                <w:szCs w:val="15"/>
              </w:rPr>
              <w:t>高年级本科生/硕士/博士研究生 (Upper-level undergraduate students</w:t>
            </w:r>
            <w:r>
              <w:rPr>
                <w:rFonts w:hint="eastAsia" w:hAnsi="宋体"/>
                <w:color w:val="000000"/>
                <w:sz w:val="15"/>
                <w:szCs w:val="15"/>
              </w:rPr>
              <w:t xml:space="preserve">, </w:t>
            </w:r>
            <w:r>
              <w:rPr>
                <w:rFonts w:hAnsi="宋体"/>
                <w:color w:val="000000"/>
                <w:sz w:val="15"/>
                <w:szCs w:val="15"/>
              </w:rPr>
              <w:t>Postgraduate Students)</w:t>
            </w:r>
          </w:p>
        </w:tc>
      </w:tr>
      <w:tr w14:paraId="46E2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486BA9DF">
            <w:pPr>
              <w:spacing w:after="160" w:line="240" w:lineRule="exact"/>
              <w:rPr>
                <w:rFonts w:hint="eastAsia" w:hAnsi="宋体"/>
                <w:b/>
                <w:bCs/>
                <w:color w:val="1F497D"/>
                <w:sz w:val="15"/>
                <w:szCs w:val="15"/>
              </w:rPr>
            </w:pPr>
            <w:r>
              <w:rPr>
                <w:rFonts w:hAnsi="宋体"/>
                <w:b/>
                <w:bCs/>
                <w:color w:val="1F497D"/>
                <w:sz w:val="15"/>
                <w:szCs w:val="15"/>
              </w:rPr>
              <w:t>课时与学分 Lecture Hours &amp; Credits</w:t>
            </w:r>
          </w:p>
        </w:tc>
        <w:tc>
          <w:tcPr>
            <w:tcW w:w="4678" w:type="dxa"/>
            <w:vAlign w:val="center"/>
          </w:tcPr>
          <w:p w14:paraId="65609FE2">
            <w:pPr>
              <w:spacing w:after="160" w:line="240" w:lineRule="exact"/>
              <w:rPr>
                <w:rFonts w:hint="eastAsia" w:hAnsi="宋体"/>
                <w:b/>
                <w:bCs/>
                <w:color w:val="000000"/>
                <w:sz w:val="15"/>
                <w:szCs w:val="15"/>
              </w:rPr>
            </w:pPr>
            <w:r>
              <w:rPr>
                <w:rFonts w:hAnsi="宋体"/>
                <w:bCs/>
                <w:color w:val="000000"/>
                <w:sz w:val="15"/>
                <w:szCs w:val="15"/>
              </w:rPr>
              <w:t>3</w:t>
            </w:r>
            <w:r>
              <w:rPr>
                <w:rFonts w:hint="eastAsia" w:hAnsi="宋体"/>
                <w:bCs/>
                <w:color w:val="000000"/>
                <w:sz w:val="15"/>
                <w:szCs w:val="15"/>
              </w:rPr>
              <w:t>6</w:t>
            </w:r>
            <w:r>
              <w:rPr>
                <w:rFonts w:hAnsi="宋体"/>
                <w:bCs/>
                <w:color w:val="000000"/>
                <w:sz w:val="15"/>
                <w:szCs w:val="15"/>
              </w:rPr>
              <w:t>学时；2学分 (3</w:t>
            </w:r>
            <w:r>
              <w:rPr>
                <w:rFonts w:hint="eastAsia" w:hAnsi="宋体"/>
                <w:bCs/>
                <w:color w:val="000000"/>
                <w:sz w:val="15"/>
                <w:szCs w:val="15"/>
              </w:rPr>
              <w:t>6</w:t>
            </w:r>
            <w:r>
              <w:rPr>
                <w:rFonts w:hAnsi="宋体"/>
                <w:bCs/>
                <w:color w:val="000000"/>
                <w:sz w:val="15"/>
                <w:szCs w:val="15"/>
              </w:rPr>
              <w:t xml:space="preserve"> Lecture Hours; 2 Credits)</w:t>
            </w:r>
          </w:p>
        </w:tc>
      </w:tr>
      <w:tr w14:paraId="6F45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7D30D794">
            <w:pPr>
              <w:spacing w:after="160"/>
              <w:rPr>
                <w:b/>
                <w:bCs/>
                <w:color w:val="1F497D"/>
                <w:sz w:val="15"/>
                <w:szCs w:val="15"/>
              </w:rPr>
            </w:pPr>
            <w:r>
              <w:rPr>
                <w:rFonts w:hint="eastAsia" w:hAnsi="宋体"/>
                <w:b/>
                <w:bCs/>
                <w:color w:val="1F497D"/>
                <w:sz w:val="15"/>
                <w:szCs w:val="15"/>
              </w:rPr>
              <w:t>授课语言</w:t>
            </w:r>
            <w:r>
              <w:rPr>
                <w:b/>
                <w:bCs/>
                <w:color w:val="1F497D"/>
                <w:sz w:val="15"/>
                <w:szCs w:val="15"/>
              </w:rPr>
              <w:t xml:space="preserve"> </w:t>
            </w:r>
            <w:r>
              <w:rPr>
                <w:rFonts w:hint="eastAsia"/>
                <w:b/>
                <w:bCs/>
                <w:color w:val="1F497D"/>
                <w:sz w:val="15"/>
                <w:szCs w:val="15"/>
              </w:rPr>
              <w:t>Language taught</w:t>
            </w:r>
          </w:p>
        </w:tc>
        <w:tc>
          <w:tcPr>
            <w:tcW w:w="4678" w:type="dxa"/>
            <w:vAlign w:val="center"/>
          </w:tcPr>
          <w:p w14:paraId="55CB31E4">
            <w:pPr>
              <w:spacing w:after="160"/>
              <w:rPr>
                <w:color w:val="000000"/>
                <w:sz w:val="15"/>
                <w:szCs w:val="15"/>
              </w:rPr>
            </w:pPr>
            <w:r>
              <w:rPr>
                <w:rFonts w:hint="eastAsia"/>
                <w:color w:val="000000"/>
                <w:sz w:val="15"/>
                <w:szCs w:val="15"/>
              </w:rPr>
              <w:t>中文 Chinese</w:t>
            </w:r>
          </w:p>
        </w:tc>
      </w:tr>
    </w:tbl>
    <w:p w14:paraId="3DECBE40">
      <w:pPr>
        <w:rPr>
          <w:rFonts w:hint="eastAsia" w:hAnsi="宋体"/>
          <w:b/>
          <w:bCs/>
          <w:color w:val="000080"/>
          <w:sz w:val="24"/>
          <w:szCs w:val="24"/>
        </w:rPr>
      </w:pPr>
      <w:r>
        <w:rPr>
          <w:rFonts w:hint="eastAsia" w:hAnsi="宋体"/>
          <w:b/>
          <w:bCs/>
          <w:color w:val="000080"/>
          <w:sz w:val="24"/>
          <w:szCs w:val="24"/>
        </w:rPr>
        <w:t xml:space="preserve">基本信息 </w:t>
      </w:r>
      <w:r>
        <w:rPr>
          <w:rFonts w:hAnsi="宋体"/>
          <w:b/>
          <w:bCs/>
          <w:color w:val="000080"/>
          <w:sz w:val="24"/>
          <w:szCs w:val="24"/>
        </w:rPr>
        <w:t>Basic information</w:t>
      </w:r>
    </w:p>
    <w:p w14:paraId="72CC7B6D">
      <w:pPr>
        <w:spacing w:before="100" w:beforeAutospacing="1" w:after="100" w:afterAutospacing="1"/>
        <w:rPr>
          <w:rFonts w:hint="eastAsia" w:hAnsi="宋体"/>
          <w:b/>
          <w:bCs/>
          <w:color w:val="000080"/>
          <w:sz w:val="24"/>
          <w:szCs w:val="24"/>
        </w:rPr>
      </w:pPr>
      <w:r>
        <w:rPr>
          <w:rFonts w:hAnsi="宋体"/>
          <w:b/>
          <w:bCs/>
          <w:color w:val="000080"/>
          <w:sz w:val="28"/>
          <w:szCs w:val="28"/>
        </w:rPr>
        <w:br w:type="page"/>
      </w:r>
      <w:r>
        <w:rPr>
          <w:rFonts w:hAnsi="宋体"/>
          <w:b/>
          <w:bCs/>
          <w:color w:val="000080"/>
          <w:sz w:val="24"/>
          <w:szCs w:val="24"/>
        </w:rPr>
        <w:t>课程目标</w:t>
      </w:r>
    </w:p>
    <w:p w14:paraId="5C19D0FC">
      <w:pPr>
        <w:ind w:firstLine="360" w:firstLineChars="200"/>
        <w:rPr>
          <w:rFonts w:hAnsi="宋体"/>
          <w:color w:val="000000"/>
          <w:sz w:val="18"/>
          <w:szCs w:val="18"/>
        </w:rPr>
      </w:pPr>
      <w:r>
        <w:rPr>
          <w:rFonts w:hAnsi="宋体"/>
          <w:color w:val="000000"/>
          <w:sz w:val="18"/>
          <w:szCs w:val="18"/>
        </w:rPr>
        <w:t>本课程立足于比较法视野，系统解析日本商法体系下核心的风险管理机制与契约法理。具体教学目标如下：</w:t>
      </w:r>
    </w:p>
    <w:p w14:paraId="755C6AAA">
      <w:pPr>
        <w:ind w:firstLine="360" w:firstLineChars="200"/>
        <w:rPr>
          <w:rFonts w:hAnsi="宋体"/>
          <w:color w:val="000000"/>
          <w:sz w:val="18"/>
          <w:szCs w:val="18"/>
        </w:rPr>
      </w:pPr>
      <w:r>
        <w:rPr>
          <w:rFonts w:hint="eastAsia" w:hAnsi="宋体"/>
          <w:color w:val="000000"/>
          <w:sz w:val="18"/>
          <w:szCs w:val="18"/>
        </w:rPr>
        <w:t>1.</w:t>
      </w:r>
      <w:r>
        <w:rPr>
          <w:rFonts w:hAnsi="宋体"/>
          <w:color w:val="000000"/>
          <w:sz w:val="18"/>
          <w:szCs w:val="18"/>
        </w:rPr>
        <w:t>系统掌握日本商法及保险法制的理论体系，理解日本商法如何继受并发展德国的商学说，以及商事交易中的特殊规则，深度解析商事判例的裁量逻辑。</w:t>
      </w:r>
    </w:p>
    <w:p w14:paraId="3C5325C4">
      <w:pPr>
        <w:ind w:firstLine="360" w:firstLineChars="200"/>
        <w:rPr>
          <w:rFonts w:hAnsi="宋体"/>
          <w:color w:val="000000"/>
          <w:sz w:val="18"/>
          <w:szCs w:val="18"/>
        </w:rPr>
      </w:pPr>
      <w:r>
        <w:rPr>
          <w:rFonts w:hint="eastAsia" w:hAnsi="宋体"/>
          <w:color w:val="000000"/>
          <w:sz w:val="18"/>
          <w:szCs w:val="18"/>
        </w:rPr>
        <w:t>2.</w:t>
      </w:r>
      <w:r>
        <w:rPr>
          <w:rFonts w:hAnsi="宋体"/>
          <w:color w:val="000000"/>
          <w:sz w:val="18"/>
          <w:szCs w:val="18"/>
        </w:rPr>
        <w:t>通过案例教学，剖析日本法院在商事司法实践中如何精准平衡商事主体之间的利益分配。</w:t>
      </w:r>
    </w:p>
    <w:p w14:paraId="0FE18986">
      <w:pPr>
        <w:ind w:firstLine="360" w:firstLineChars="200"/>
        <w:rPr>
          <w:rFonts w:hAnsi="宋体"/>
          <w:color w:val="000000"/>
          <w:sz w:val="18"/>
          <w:szCs w:val="18"/>
        </w:rPr>
      </w:pPr>
      <w:r>
        <w:rPr>
          <w:rFonts w:hint="eastAsia" w:hAnsi="宋体"/>
          <w:color w:val="000000"/>
          <w:sz w:val="18"/>
          <w:szCs w:val="18"/>
        </w:rPr>
        <w:t>3.</w:t>
      </w:r>
      <w:r>
        <w:rPr>
          <w:rFonts w:hAnsi="宋体"/>
          <w:color w:val="000000"/>
          <w:sz w:val="18"/>
          <w:szCs w:val="18"/>
        </w:rPr>
        <w:t>培养比较商法思维：引导学生结合中国法律环境，批判性思考日本在商事风险控制、告知义务及合同解除等领域的经验。</w:t>
      </w:r>
    </w:p>
    <w:p w14:paraId="70C83B33">
      <w:pPr>
        <w:spacing w:before="100" w:beforeAutospacing="1" w:after="100" w:afterAutospacing="1"/>
        <w:rPr>
          <w:b/>
          <w:bCs/>
          <w:color w:val="000080"/>
          <w:sz w:val="24"/>
          <w:szCs w:val="24"/>
        </w:rPr>
      </w:pPr>
      <w:r>
        <w:rPr>
          <w:b/>
          <w:bCs/>
          <w:color w:val="000080"/>
          <w:sz w:val="24"/>
          <w:szCs w:val="24"/>
        </w:rPr>
        <w:t>Learning Goals</w:t>
      </w:r>
    </w:p>
    <w:p w14:paraId="740EF1F2">
      <w:pPr>
        <w:ind w:firstLine="360" w:firstLineChars="200"/>
        <w:rPr>
          <w:rFonts w:hAnsi="宋体"/>
          <w:color w:val="000000"/>
          <w:sz w:val="18"/>
          <w:szCs w:val="18"/>
        </w:rPr>
      </w:pPr>
      <w:r>
        <w:rPr>
          <w:rFonts w:hAnsi="宋体"/>
          <w:color w:val="000000"/>
          <w:sz w:val="18"/>
          <w:szCs w:val="18"/>
        </w:rPr>
        <w:t>This course is grounded in a comparative law perspective, systematically analyzing the core risk management mechanisms and contractual jurisprudence under the Japanese commercial law system. The specific teaching objectives are as follows: T</w:t>
      </w:r>
      <w:r>
        <w:rPr>
          <w:rFonts w:hint="eastAsia" w:hAnsi="宋体"/>
          <w:color w:val="000000"/>
          <w:sz w:val="18"/>
          <w:szCs w:val="18"/>
        </w:rPr>
        <w:t>o</w:t>
      </w:r>
      <w:r>
        <w:rPr>
          <w:rFonts w:hAnsi="宋体"/>
          <w:color w:val="000000"/>
          <w:sz w:val="18"/>
          <w:szCs w:val="18"/>
        </w:rPr>
        <w:t xml:space="preserve"> systematically grasp the theoretical framework of Japanese commercial and insurance legal systems, understand how Japanese commercial law inherited and developed German commercial doctrines, and deeply analyze the discretionary logic of commercial precedents. Throug</w:t>
      </w:r>
      <w:r>
        <w:rPr>
          <w:rFonts w:hint="eastAsia" w:hAnsi="宋体"/>
          <w:color w:val="000000"/>
          <w:sz w:val="18"/>
          <w:szCs w:val="18"/>
        </w:rPr>
        <w:t>h</w:t>
      </w:r>
      <w:r>
        <w:rPr>
          <w:rFonts w:hAnsi="宋体"/>
          <w:color w:val="000000"/>
          <w:sz w:val="18"/>
          <w:szCs w:val="18"/>
        </w:rPr>
        <w:t xml:space="preserve"> case studies, to analyze how Japanese courts precisely balance the allocation of interests among commercial entities in judicial practice. T</w:t>
      </w:r>
      <w:r>
        <w:rPr>
          <w:rFonts w:hint="eastAsia" w:hAnsi="宋体"/>
          <w:color w:val="000000"/>
          <w:sz w:val="18"/>
          <w:szCs w:val="18"/>
        </w:rPr>
        <w:t>o</w:t>
      </w:r>
      <w:r>
        <w:rPr>
          <w:rFonts w:hAnsi="宋体"/>
          <w:color w:val="000000"/>
          <w:sz w:val="18"/>
          <w:szCs w:val="18"/>
        </w:rPr>
        <w:t xml:space="preserve"> cultivate comparative commercial law thinking: guiding students to integrate China's legal environment and critically consider Japan's experiences in areas such as commercial risk control, duty of disclosure, and contract termination.</w:t>
      </w:r>
    </w:p>
    <w:p w14:paraId="38E0B4CA">
      <w:pPr>
        <w:spacing w:before="100" w:beforeAutospacing="1" w:after="100" w:afterAutospacing="1"/>
        <w:rPr>
          <w:rFonts w:hint="eastAsia" w:ascii="仿宋_GB2312" w:hAnsi="宋体" w:eastAsia="仿宋_GB2312" w:cs="宋体"/>
          <w:kern w:val="0"/>
          <w:sz w:val="24"/>
          <w:szCs w:val="24"/>
        </w:rPr>
      </w:pPr>
      <w:r>
        <w:rPr>
          <w:rFonts w:hint="eastAsia" w:hAnsi="宋体"/>
          <w:b/>
          <w:bCs/>
          <w:color w:val="000080"/>
          <w:sz w:val="24"/>
          <w:szCs w:val="24"/>
        </w:rPr>
        <w:t>课程内容</w:t>
      </w:r>
    </w:p>
    <w:p w14:paraId="47CF4BD2">
      <w:pPr>
        <w:ind w:firstLine="360" w:firstLineChars="200"/>
        <w:rPr>
          <w:rFonts w:hAnsi="宋体"/>
          <w:color w:val="000000"/>
          <w:sz w:val="18"/>
          <w:szCs w:val="18"/>
        </w:rPr>
      </w:pPr>
      <w:r>
        <w:rPr>
          <w:rFonts w:hAnsi="宋体"/>
          <w:color w:val="000000"/>
          <w:sz w:val="18"/>
          <w:szCs w:val="18"/>
        </w:rPr>
        <w:t>作为全球最成熟的商事法治环境之一，日本的商事法律实践不仅集大陆法系之大成，更在应对现代商业社会的复杂风险（如信息不对称、信用违约及技术革新）方面积累了深厚经验。通过本课程的学习，学生将超越单一的行业规制视角，从商法基本原则出发，深度探讨商事主体间的权利义务博弈与利益平衡逻辑，为中国商事法学研究、司法实践及监管创新提供具有操作性的国际借鉴。本课程共分为6个模块进行系统讲授：模块一：日本商法典构造与风险法制体系。探讨商事交易中的“射幸性”与“风险转移”基础理论。模块二：商事契约中的信息合意与诚实信用。深入研究商事合同订立过程中的“说明义务”与“告知义务”。模块三：商事法律关系的因果关系认定与实务判例。专题研讨日本商法中独具特色的“因果关系规则”。模块四：商事主体的风险防范与免责条款解释。聚焦商事理赔阶段争议，解读道德风险防范机制与免责条款适用。模块五：商事合同的动态变动与信赖关系保护。引介日本法中基于“信赖关系破裂”的重大事由解除制度。模块六：商事法制前沿：科技创新与法律回应。关注金融科技（FinTech）及自动驾驶等前沿领域的最新立法趋势。</w:t>
      </w:r>
    </w:p>
    <w:p w14:paraId="34D0EF32">
      <w:pPr>
        <w:spacing w:before="100" w:beforeAutospacing="1" w:after="100" w:afterAutospacing="1"/>
        <w:jc w:val="left"/>
        <w:rPr>
          <w:rFonts w:hint="eastAsia" w:hAnsi="宋体"/>
          <w:b/>
          <w:bCs/>
          <w:color w:val="000080"/>
          <w:sz w:val="24"/>
          <w:szCs w:val="24"/>
        </w:rPr>
      </w:pPr>
      <w:r>
        <w:rPr>
          <w:rFonts w:hint="eastAsia" w:hAnsi="宋体"/>
          <w:b/>
          <w:bCs/>
          <w:color w:val="000080"/>
          <w:sz w:val="24"/>
          <w:szCs w:val="24"/>
        </w:rPr>
        <w:t>Content</w:t>
      </w:r>
    </w:p>
    <w:p w14:paraId="2169A014">
      <w:pPr>
        <w:ind w:firstLine="360" w:firstLineChars="200"/>
      </w:pPr>
      <w:r>
        <w:rPr>
          <w:color w:val="000000"/>
          <w:sz w:val="18"/>
          <w:szCs w:val="18"/>
        </w:rPr>
        <w:t>As one of the most mature commercial legal environments globally, Japan's commercial legal practice has accumulated profound experience in dealing with complex risks in modern commercial society, such as information asymmetry, credit default, and technological innovation. Through this course, students will go beyond a single industry regulatory perspective, deeply explore the game of rights and obligations and the logic of interest balance among commercial entities, and provide operational international references for China's commercial law research and judicial practice.</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E0C0">
    <w:pPr>
      <w:pStyle w:val="2"/>
      <w:jc w:val="right"/>
    </w:pPr>
    <w:r>
      <w:fldChar w:fldCharType="begin"/>
    </w:r>
    <w:r>
      <w:instrText xml:space="preserve"> PAGE   \* MERGEFORMAT </w:instrText>
    </w:r>
    <w:r>
      <w:fldChar w:fldCharType="separate"/>
    </w:r>
    <w:r>
      <w:rPr>
        <w:lang w:val="zh-CN"/>
      </w:rPr>
      <w:t>1</w:t>
    </w:r>
    <w:r>
      <w:fldChar w:fldCharType="end"/>
    </w:r>
  </w:p>
  <w:p w14:paraId="6589BDA8">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81E07"/>
    <w:rsid w:val="000F555C"/>
    <w:rsid w:val="00130039"/>
    <w:rsid w:val="001C4A5C"/>
    <w:rsid w:val="001D4C97"/>
    <w:rsid w:val="00216986"/>
    <w:rsid w:val="00223EE5"/>
    <w:rsid w:val="002B5426"/>
    <w:rsid w:val="002E2F63"/>
    <w:rsid w:val="00343506"/>
    <w:rsid w:val="0039360F"/>
    <w:rsid w:val="003B56F6"/>
    <w:rsid w:val="00434D43"/>
    <w:rsid w:val="004525CB"/>
    <w:rsid w:val="00453393"/>
    <w:rsid w:val="00464083"/>
    <w:rsid w:val="0056183F"/>
    <w:rsid w:val="00563095"/>
    <w:rsid w:val="0057526A"/>
    <w:rsid w:val="0057796F"/>
    <w:rsid w:val="00616378"/>
    <w:rsid w:val="00662645"/>
    <w:rsid w:val="0067435F"/>
    <w:rsid w:val="00731D99"/>
    <w:rsid w:val="007571A1"/>
    <w:rsid w:val="007C0242"/>
    <w:rsid w:val="007F1831"/>
    <w:rsid w:val="008658BE"/>
    <w:rsid w:val="008D69DF"/>
    <w:rsid w:val="00B94C2B"/>
    <w:rsid w:val="00C07E42"/>
    <w:rsid w:val="00C567D9"/>
    <w:rsid w:val="00CD1DE8"/>
    <w:rsid w:val="00D23139"/>
    <w:rsid w:val="00D51051"/>
    <w:rsid w:val="00D63EF5"/>
    <w:rsid w:val="00DA18A0"/>
    <w:rsid w:val="00DC63DC"/>
    <w:rsid w:val="00E10E9D"/>
    <w:rsid w:val="00E51D10"/>
    <w:rsid w:val="00E56683"/>
    <w:rsid w:val="00EA2ABA"/>
    <w:rsid w:val="00EB49DB"/>
    <w:rsid w:val="00EC778B"/>
    <w:rsid w:val="152570B9"/>
    <w:rsid w:val="50B81E07"/>
    <w:rsid w:val="69E3037E"/>
    <w:rsid w:val="77B00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1660</Words>
  <Characters>3710</Characters>
  <Lines>29</Lines>
  <Paragraphs>8</Paragraphs>
  <TotalTime>107</TotalTime>
  <ScaleCrop>false</ScaleCrop>
  <LinksUpToDate>false</LinksUpToDate>
  <CharactersWithSpaces>4085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2020-12-29T08:40:00Z</dcterms:created>
  <dc:creator>田华</dc:creator>
  <cp:lastModifiedBy>admin</cp:lastModifiedBy>
  <dcterms:modified xsi:type="dcterms:W3CDTF">2026-04-10T05:45:47Z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28F16873D50C41F89AACBCD47612B15E_13</vt:lpwstr>
  </property>
  <property fmtid="{D5CDD505-2E9C-101B-9397-08002B2CF9AE}" pid="4" name="KSOTemplateDocerSaveRecord">
    <vt:lpwstr>eyJoZGlkIjoiYTFhNjQxMzQwYmY4ZDY4ZmYxNTg0NTkxNjMxYzY5YjYiLCJ1c2VySWQiOiIyNjQ5MDI0MTcifQ==</vt:lpwstr>
  </property>
</Properties>
</file>