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75C0C1">
      <w:pPr>
        <w:spacing w:before="100" w:beforeAutospacing="1" w:after="100" w:afterAutospacing="1" w:line="360" w:lineRule="auto"/>
        <w:jc w:val="center"/>
        <w:rPr>
          <w:rFonts w:hint="eastAsia" w:hAnsi="宋体"/>
          <w:b/>
          <w:bCs/>
        </w:rPr>
      </w:pPr>
      <w:r>
        <w:rPr>
          <w:rFonts w:hint="eastAsia" w:hAnsi="宋体"/>
          <w:b/>
          <w:bCs/>
        </w:rPr>
        <w:t>法律语言学</w:t>
      </w:r>
    </w:p>
    <w:p w14:paraId="2A709C0F">
      <w:pPr>
        <w:spacing w:before="100" w:beforeAutospacing="1" w:after="100" w:afterAutospacing="1" w:line="360" w:lineRule="auto"/>
        <w:jc w:val="center"/>
        <w:rPr>
          <w:rFonts w:ascii="Times New Roman" w:hAnsi="Times New Roman" w:cs="Times New Roman"/>
          <w:b/>
          <w:bCs/>
        </w:rPr>
      </w:pPr>
      <w:r>
        <w:rPr>
          <w:rFonts w:hint="eastAsia" w:ascii="Times New Roman" w:hAnsi="Times New Roman" w:cs="Times New Roman"/>
          <w:b/>
          <w:bCs/>
        </w:rPr>
        <w:t>Forensic Linguistics</w:t>
      </w:r>
    </w:p>
    <w:p w14:paraId="3D1FAD50">
      <w:pPr>
        <w:spacing w:before="100" w:beforeAutospacing="1" w:after="100" w:afterAutospacing="1" w:line="360" w:lineRule="auto"/>
        <w:rPr>
          <w:rFonts w:hint="eastAsia" w:hAnsi="宋体"/>
          <w:b/>
          <w:bCs/>
          <w:color w:val="000080"/>
        </w:rPr>
      </w:pPr>
      <w:r>
        <w:rPr>
          <w:rFonts w:hint="eastAsia" w:hAnsi="宋体"/>
          <w:b/>
          <w:bCs/>
          <w:color w:val="000080"/>
        </w:rPr>
        <w:t>上课时间与地点</w:t>
      </w:r>
    </w:p>
    <w:p w14:paraId="0348A2F1">
      <w:pPr>
        <w:pStyle w:val="9"/>
        <w:spacing w:line="360" w:lineRule="auto"/>
        <w:rPr>
          <w:rFonts w:ascii="Times New Roman" w:hAnsi="Times New Roman" w:cs="Times New Roman"/>
          <w:b/>
          <w:bCs/>
        </w:rPr>
      </w:pPr>
      <w:r>
        <w:rPr>
          <w:rFonts w:hint="eastAsia" w:ascii="Times New Roman" w:hAnsi="Times New Roman" w:cs="Times New Roman"/>
        </w:rPr>
        <w:t>时间：2</w:t>
      </w:r>
      <w:r>
        <w:rPr>
          <w:rFonts w:ascii="Times New Roman" w:hAnsi="Times New Roman" w:cs="Times New Roman"/>
        </w:rPr>
        <w:t>02</w:t>
      </w:r>
      <w:r>
        <w:rPr>
          <w:rFonts w:hint="eastAsia" w:ascii="Times New Roman" w:hAnsi="Times New Roman" w:cs="Times New Roman"/>
        </w:rPr>
        <w:t>6年9月22日至9月29日（共1周）</w:t>
      </w:r>
      <w:r>
        <w:rPr>
          <w:rFonts w:hint="eastAsia" w:ascii="Times New Roman" w:hAnsi="Times New Roman" w:cs="Times New Roman"/>
          <w:b/>
          <w:bCs/>
        </w:rPr>
        <w:t>。</w:t>
      </w:r>
    </w:p>
    <w:p w14:paraId="149FB8F7">
      <w:pPr>
        <w:pStyle w:val="9"/>
        <w:spacing w:line="360" w:lineRule="auto"/>
        <w:rPr>
          <w:rFonts w:hint="eastAsia" w:ascii="Times New Roman" w:hAnsi="Times New Roman" w:cs="Times New Roman" w:eastAsiaTheme="minorEastAsia"/>
          <w:b/>
          <w:bCs/>
          <w:lang w:val="en-US" w:eastAsia="zh-CN"/>
        </w:rPr>
      </w:pPr>
      <w:r>
        <w:rPr>
          <w:rFonts w:hint="eastAsia" w:ascii="Times New Roman" w:hAnsi="Times New Roman" w:cs="Times New Roman"/>
        </w:rPr>
        <w:t>地点：松江校区</w:t>
      </w:r>
      <w:r>
        <w:rPr>
          <w:rFonts w:hint="eastAsia" w:ascii="Times New Roman" w:hAnsi="Times New Roman" w:cs="Times New Roman"/>
          <w:lang w:val="en-US" w:eastAsia="zh-CN"/>
        </w:rPr>
        <w:t>明法楼西楼（具体教室见通知</w:t>
      </w:r>
      <w:bookmarkStart w:id="0" w:name="_GoBack"/>
      <w:bookmarkEnd w:id="0"/>
      <w:r>
        <w:rPr>
          <w:rFonts w:hint="eastAsia" w:ascii="Times New Roman" w:hAnsi="Times New Roman" w:cs="Times New Roman"/>
          <w:lang w:val="en-US" w:eastAsia="zh-CN"/>
        </w:rPr>
        <w:t>）</w:t>
      </w:r>
    </w:p>
    <w:p w14:paraId="4E87A529">
      <w:pPr>
        <w:spacing w:before="100" w:beforeAutospacing="1" w:after="100" w:afterAutospacing="1" w:line="360" w:lineRule="auto"/>
        <w:rPr>
          <w:rFonts w:hint="eastAsia" w:hAnsi="宋体"/>
          <w:b/>
          <w:bCs/>
          <w:color w:val="000080"/>
        </w:rPr>
      </w:pPr>
      <w:r>
        <w:rPr>
          <w:rFonts w:hint="eastAsia" w:hAnsi="宋体"/>
          <w:b/>
          <w:bCs/>
          <w:color w:val="000080"/>
        </w:rPr>
        <w:t>课程主讲人简介</w:t>
      </w:r>
    </w:p>
    <w:p w14:paraId="44D80709">
      <w:pPr>
        <w:spacing w:line="360" w:lineRule="auto"/>
        <w:ind w:firstLine="480" w:firstLineChars="200"/>
        <w:rPr>
          <w:rFonts w:ascii="Times New Roman" w:hAnsi="Times New Roman" w:cs="Times New Roman"/>
        </w:rPr>
      </w:pPr>
      <w:r>
        <w:rPr>
          <w:rFonts w:hint="eastAsia" w:ascii="Times New Roman" w:hAnsi="Times New Roman" w:cs="Times New Roman"/>
        </w:rPr>
        <w:t>Diete</w:t>
      </w:r>
      <w:r>
        <w:rPr>
          <w:rFonts w:ascii="Times New Roman" w:hAnsi="Times New Roman" w:cs="Times New Roman"/>
        </w:rPr>
        <w:t xml:space="preserve">r A. Stein </w:t>
      </w:r>
      <w:r>
        <w:rPr>
          <w:rFonts w:hint="eastAsia" w:ascii="Times New Roman" w:hAnsi="Times New Roman" w:cs="Times New Roman"/>
        </w:rPr>
        <w:t>(戴特·A·斯坦因)，教授，国际语言和法律协会主席，德国杜塞尔多夫大学英语语言及语言学教授，加州大学洛杉矶分校法学院客座教授。主要研究领域是语言与法律（法律语言学）、法医语言学、话语与句法、语言发展。Stein教授是“马克斯·普朗克知识历史与发展研究图书馆”编委，美国语言学会（Linguistic Society of America）数字出版门户网站“e-Language”主编。并组织了一系列国际会议，包括第13届历史语言学国际会议（杜塞尔多夫，1997年）、“语言中的主观性和主观化”学术讨论会（英国剑桥圣凯瑟琳学院，1992年）、“句法和多样性：方言和标准语言的语法”学术讨论会（杜塞尔多夫，1995年）、德国语言学会和美国语言学会在杜塞尔多夫联合举办的语言学暑期学校。“形式和功能语言学”（2002年），语言与法律国际会议，与加州大学洛杉矶分校和杜塞尔多夫大学法学院（2006年）在杜塞尔多夫举行柏林开放获取会议（2008 年）。</w:t>
      </w:r>
    </w:p>
    <w:p w14:paraId="2E92C8C0">
      <w:pPr>
        <w:spacing w:line="360" w:lineRule="auto"/>
        <w:jc w:val="center"/>
        <w:rPr>
          <w:rFonts w:ascii="Times New Roman" w:hAnsi="Times New Roman" w:cs="Times New Roman"/>
        </w:rPr>
      </w:pPr>
      <w:r>
        <w:rPr>
          <w:rFonts w:ascii="Times New Roman" w:hAnsi="Times New Roman" w:cs="Times New Roman"/>
        </w:rPr>
        <w:drawing>
          <wp:inline distT="0" distB="0" distL="0" distR="0">
            <wp:extent cx="4115435" cy="2270760"/>
            <wp:effectExtent l="0" t="0" r="0" b="0"/>
            <wp:docPr id="34987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7933" name="图片 1"/>
                    <pic:cNvPicPr>
                      <a:picLocks noChangeAspect="1"/>
                    </pic:cNvPicPr>
                  </pic:nvPicPr>
                  <pic:blipFill>
                    <a:blip r:embed="rId4"/>
                    <a:srcRect t="17533" b="8871"/>
                    <a:stretch>
                      <a:fillRect/>
                    </a:stretch>
                  </pic:blipFill>
                  <pic:spPr>
                    <a:xfrm>
                      <a:off x="0" y="0"/>
                      <a:ext cx="4126405" cy="2276774"/>
                    </a:xfrm>
                    <a:prstGeom prst="rect">
                      <a:avLst/>
                    </a:prstGeom>
                    <a:ln>
                      <a:noFill/>
                    </a:ln>
                  </pic:spPr>
                </pic:pic>
              </a:graphicData>
            </a:graphic>
          </wp:inline>
        </w:drawing>
      </w:r>
    </w:p>
    <w:p w14:paraId="502C377B">
      <w:pPr>
        <w:spacing w:line="360" w:lineRule="auto"/>
        <w:jc w:val="center"/>
        <w:rPr>
          <w:rFonts w:ascii="Times New Roman" w:hAnsi="Times New Roman" w:cs="Times New Roman"/>
        </w:rPr>
      </w:pPr>
      <w:r>
        <w:rPr>
          <w:rFonts w:hint="eastAsia" w:ascii="Times New Roman" w:hAnsi="Times New Roman" w:cs="Times New Roman"/>
        </w:rPr>
        <w:t>2025年法律语言结课照片</w:t>
      </w:r>
    </w:p>
    <w:p w14:paraId="4B593955">
      <w:pPr>
        <w:spacing w:before="100" w:beforeAutospacing="1" w:after="100" w:afterAutospacing="1" w:line="360" w:lineRule="auto"/>
        <w:rPr>
          <w:rFonts w:hint="eastAsia" w:hAnsi="宋体"/>
          <w:b/>
          <w:bCs/>
          <w:color w:val="000080"/>
        </w:rPr>
      </w:pPr>
      <w:r>
        <w:rPr>
          <w:rFonts w:hint="eastAsia" w:hAnsi="宋体"/>
          <w:b/>
          <w:bCs/>
          <w:color w:val="000080"/>
        </w:rPr>
        <w:t>课程提纲</w:t>
      </w:r>
    </w:p>
    <w:p w14:paraId="38F94EF1">
      <w:pPr>
        <w:pStyle w:val="9"/>
        <w:spacing w:line="360" w:lineRule="auto"/>
        <w:rPr>
          <w:rFonts w:ascii="Times New Roman" w:hAnsi="Times New Roman" w:cs="Times New Roman"/>
        </w:rPr>
      </w:pPr>
      <w:r>
        <w:rPr>
          <w:rFonts w:hint="eastAsia" w:ascii="Times New Roman" w:hAnsi="Times New Roman" w:cs="Times New Roman"/>
        </w:rPr>
        <w:t>授课时间为北京时间</w:t>
      </w:r>
    </w:p>
    <w:p w14:paraId="4F563DF4">
      <w:pPr>
        <w:spacing w:line="360" w:lineRule="auto"/>
        <w:rPr>
          <w:rFonts w:ascii="Times New Roman" w:hAnsi="Times New Roman" w:cs="Times New Roman"/>
          <w:b/>
          <w:bCs/>
        </w:rPr>
      </w:pPr>
    </w:p>
    <w:tbl>
      <w:tblPr>
        <w:tblStyle w:val="11"/>
        <w:tblW w:w="9819" w:type="dxa"/>
        <w:tblInd w:w="-5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4"/>
        <w:gridCol w:w="4921"/>
        <w:gridCol w:w="1294"/>
        <w:gridCol w:w="1780"/>
      </w:tblGrid>
      <w:tr w14:paraId="6CC5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3A93A1A4">
            <w:pPr>
              <w:spacing w:line="360" w:lineRule="auto"/>
              <w:jc w:val="center"/>
              <w:rPr>
                <w:rFonts w:ascii="Times New Roman" w:hAnsi="Times New Roman" w:cs="Times New Roman"/>
                <w:b/>
                <w:bCs/>
                <w:lang w:eastAsia="en-US"/>
              </w:rPr>
            </w:pPr>
            <w:r>
              <w:rPr>
                <w:rFonts w:hint="eastAsia" w:ascii="Times New Roman" w:hAnsi="Times New Roman" w:cs="Times New Roman"/>
                <w:b/>
                <w:bCs/>
                <w:lang w:eastAsia="en-US"/>
              </w:rPr>
              <w:t>课程</w:t>
            </w:r>
          </w:p>
        </w:tc>
        <w:tc>
          <w:tcPr>
            <w:tcW w:w="4921" w:type="dxa"/>
            <w:vAlign w:val="center"/>
          </w:tcPr>
          <w:p w14:paraId="4CACEEEA">
            <w:pPr>
              <w:spacing w:line="360" w:lineRule="auto"/>
              <w:jc w:val="center"/>
              <w:rPr>
                <w:rFonts w:ascii="Times New Roman" w:hAnsi="Times New Roman" w:cs="Times New Roman"/>
                <w:b/>
                <w:bCs/>
                <w:lang w:eastAsia="en-US"/>
              </w:rPr>
            </w:pPr>
            <w:r>
              <w:rPr>
                <w:rFonts w:hint="eastAsia" w:ascii="Times New Roman" w:hAnsi="Times New Roman" w:cs="Times New Roman"/>
                <w:b/>
                <w:bCs/>
                <w:lang w:eastAsia="en-US"/>
              </w:rPr>
              <w:t>主题</w:t>
            </w:r>
            <w:r>
              <w:rPr>
                <w:rFonts w:ascii="Times New Roman" w:hAnsi="Times New Roman" w:cs="Times New Roman"/>
                <w:b/>
                <w:bCs/>
                <w:lang w:eastAsia="en-US"/>
              </w:rPr>
              <w:t xml:space="preserve"> </w:t>
            </w:r>
          </w:p>
        </w:tc>
        <w:tc>
          <w:tcPr>
            <w:tcW w:w="1294" w:type="dxa"/>
            <w:vAlign w:val="center"/>
          </w:tcPr>
          <w:p w14:paraId="215654C9">
            <w:pPr>
              <w:spacing w:line="360" w:lineRule="auto"/>
              <w:jc w:val="center"/>
              <w:rPr>
                <w:rFonts w:ascii="Times New Roman" w:hAnsi="Times New Roman" w:eastAsia="宋体" w:cs="Times New Roman"/>
                <w:b/>
                <w:bCs/>
                <w:lang w:eastAsia="en-US"/>
              </w:rPr>
            </w:pPr>
            <w:r>
              <w:rPr>
                <w:rFonts w:hint="eastAsia" w:ascii="Times New Roman" w:hAnsi="Times New Roman" w:eastAsia="宋体" w:cs="Times New Roman"/>
                <w:b/>
                <w:bCs/>
                <w:lang w:eastAsia="en-US"/>
              </w:rPr>
              <w:t>课程助理</w:t>
            </w:r>
          </w:p>
        </w:tc>
        <w:tc>
          <w:tcPr>
            <w:tcW w:w="1780" w:type="dxa"/>
            <w:vAlign w:val="center"/>
          </w:tcPr>
          <w:p w14:paraId="07FF6B54">
            <w:pPr>
              <w:spacing w:line="360" w:lineRule="auto"/>
              <w:jc w:val="center"/>
              <w:rPr>
                <w:rFonts w:ascii="Times New Roman" w:hAnsi="Times New Roman" w:eastAsia="宋体" w:cs="Times New Roman"/>
                <w:b/>
                <w:bCs/>
                <w:lang w:eastAsia="en-US"/>
              </w:rPr>
            </w:pPr>
            <w:r>
              <w:rPr>
                <w:rFonts w:hint="eastAsia" w:ascii="Times New Roman" w:hAnsi="Times New Roman" w:eastAsia="宋体" w:cs="Times New Roman"/>
                <w:b/>
                <w:bCs/>
                <w:lang w:eastAsia="en-US"/>
              </w:rPr>
              <w:t>上课地址</w:t>
            </w:r>
          </w:p>
        </w:tc>
      </w:tr>
      <w:tr w14:paraId="000A3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64633731">
            <w:pPr>
              <w:spacing w:line="360" w:lineRule="auto"/>
              <w:jc w:val="center"/>
              <w:rPr>
                <w:rFonts w:ascii="Times New Roman" w:hAnsi="Times New Roman" w:cs="Times New Roman"/>
                <w:lang w:eastAsia="zh-CN"/>
              </w:rPr>
            </w:pPr>
            <w:r>
              <w:rPr>
                <w:rFonts w:ascii="Times New Roman" w:hAnsi="Times New Roman" w:eastAsia="宋体" w:cs="Times New Roman"/>
                <w:lang w:eastAsia="zh-CN"/>
              </w:rPr>
              <w:t>讲</w:t>
            </w:r>
            <w:r>
              <w:rPr>
                <w:rFonts w:ascii="Times New Roman" w:hAnsi="Times New Roman" w:cs="Times New Roman"/>
                <w:lang w:eastAsia="zh-CN"/>
              </w:rPr>
              <w:t>座一</w:t>
            </w:r>
          </w:p>
          <w:p w14:paraId="4D493C86">
            <w:pPr>
              <w:spacing w:line="360" w:lineRule="auto"/>
              <w:jc w:val="center"/>
              <w:rPr>
                <w:rFonts w:ascii="Times New Roman" w:hAnsi="Times New Roman" w:cs="Times New Roman"/>
                <w:lang w:eastAsia="zh-CN"/>
              </w:rPr>
            </w:pPr>
            <w:r>
              <w:rPr>
                <w:rFonts w:ascii="Times New Roman" w:hAnsi="Times New Roman" w:cs="Times New Roman"/>
                <w:lang w:eastAsia="zh-CN"/>
              </w:rPr>
              <w:t>9</w:t>
            </w:r>
            <w:r>
              <w:rPr>
                <w:rFonts w:hint="eastAsia" w:ascii="Times New Roman" w:hAnsi="Times New Roman" w:cs="Times New Roman"/>
                <w:lang w:eastAsia="zh-CN"/>
              </w:rPr>
              <w:t>月</w:t>
            </w:r>
            <w:r>
              <w:rPr>
                <w:rFonts w:ascii="Times New Roman" w:hAnsi="Times New Roman" w:cs="Times New Roman"/>
                <w:lang w:eastAsia="zh-CN"/>
              </w:rPr>
              <w:t>2</w:t>
            </w:r>
            <w:r>
              <w:rPr>
                <w:rFonts w:hint="eastAsia" w:ascii="Times New Roman" w:hAnsi="Times New Roman" w:cs="Times New Roman"/>
                <w:lang w:eastAsia="zh-CN"/>
              </w:rPr>
              <w:t>2日</w:t>
            </w:r>
            <w:r>
              <w:rPr>
                <w:rFonts w:hint="eastAsia" w:ascii="Times New Roman" w:hAnsi="Times New Roman" w:cs="Times New Roman"/>
                <w:lang w:val="en-US" w:eastAsia="zh-CN"/>
              </w:rPr>
              <w:t>上</w:t>
            </w:r>
            <w:r>
              <w:rPr>
                <w:rFonts w:hint="eastAsia" w:ascii="Times New Roman" w:hAnsi="Times New Roman" w:cs="Times New Roman"/>
                <w:lang w:eastAsia="zh-CN"/>
              </w:rPr>
              <w:t>午（周二）</w:t>
            </w:r>
          </w:p>
          <w:p w14:paraId="0DA3C5D6">
            <w:pPr>
              <w:spacing w:line="360" w:lineRule="auto"/>
              <w:jc w:val="center"/>
              <w:rPr>
                <w:rFonts w:ascii="Times New Roman" w:hAnsi="Times New Roman" w:cs="Times New Roman"/>
                <w:lang w:eastAsia="zh-CN"/>
              </w:rPr>
            </w:pPr>
          </w:p>
        </w:tc>
        <w:tc>
          <w:tcPr>
            <w:tcW w:w="4921" w:type="dxa"/>
            <w:vAlign w:val="center"/>
          </w:tcPr>
          <w:p w14:paraId="5EE95E75">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“Introduction, Content and Procedure</w:t>
            </w:r>
          </w:p>
          <w:p w14:paraId="39D9A5CA">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Relationships between L and L</w:t>
            </w:r>
          </w:p>
          <w:p w14:paraId="6DBA16D0">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Application of Linguistic categories of analysis</w:t>
            </w:r>
          </w:p>
          <w:p w14:paraId="170A2100">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The field of language and law” (Stein in Guillen Nieto and Stein (“GNS”, Engberg)</w:t>
            </w:r>
          </w:p>
          <w:p w14:paraId="7AA0C527">
            <w:pPr>
              <w:spacing w:line="360" w:lineRule="auto"/>
              <w:jc w:val="center"/>
              <w:rPr>
                <w:rFonts w:ascii="Times New Roman" w:hAnsi="Times New Roman" w:cs="Times New Roman"/>
                <w:lang w:eastAsia="en-US"/>
              </w:rPr>
            </w:pPr>
            <w:r>
              <w:rPr>
                <w:rFonts w:ascii="Times New Roman" w:hAnsi="Times New Roman" w:eastAsia="宋体" w:cs="Times New Roman"/>
                <w:lang w:eastAsia="en-US"/>
              </w:rPr>
              <w:t>What is Law?</w:t>
            </w:r>
          </w:p>
        </w:tc>
        <w:tc>
          <w:tcPr>
            <w:tcW w:w="1294" w:type="dxa"/>
            <w:vAlign w:val="center"/>
          </w:tcPr>
          <w:p w14:paraId="04B8664D">
            <w:pPr>
              <w:spacing w:line="360" w:lineRule="auto"/>
              <w:jc w:val="center"/>
              <w:rPr>
                <w:rFonts w:ascii="Times New Roman" w:hAnsi="Times New Roman" w:eastAsia="宋体" w:cs="Times New Roman"/>
                <w:lang w:eastAsia="zh-CN"/>
              </w:rPr>
            </w:pPr>
            <w:r>
              <w:rPr>
                <w:rFonts w:hint="eastAsia" w:ascii="Times New Roman" w:hAnsi="Times New Roman" w:eastAsia="宋体" w:cs="Times New Roman"/>
                <w:lang w:eastAsia="zh-CN"/>
              </w:rPr>
              <w:t>宋丽珏教授、课程助理</w:t>
            </w:r>
          </w:p>
        </w:tc>
        <w:tc>
          <w:tcPr>
            <w:tcW w:w="1780" w:type="dxa"/>
            <w:vAlign w:val="center"/>
          </w:tcPr>
          <w:p w14:paraId="63A490E9">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eastAsia="zh-CN"/>
              </w:rPr>
              <w:t>松江校区</w:t>
            </w:r>
          </w:p>
          <w:p w14:paraId="313958A3">
            <w:pPr>
              <w:spacing w:line="360" w:lineRule="auto"/>
              <w:jc w:val="center"/>
              <w:textAlignment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明法楼西楼D201</w:t>
            </w:r>
          </w:p>
        </w:tc>
      </w:tr>
      <w:tr w14:paraId="054A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824" w:type="dxa"/>
            <w:vAlign w:val="center"/>
          </w:tcPr>
          <w:p w14:paraId="22BA7DED">
            <w:pPr>
              <w:spacing w:line="360" w:lineRule="auto"/>
              <w:jc w:val="center"/>
              <w:rPr>
                <w:rFonts w:ascii="Times New Roman" w:hAnsi="Times New Roman" w:cs="Times New Roman"/>
                <w:lang w:eastAsia="zh-CN"/>
              </w:rPr>
            </w:pPr>
            <w:r>
              <w:rPr>
                <w:rFonts w:ascii="Times New Roman" w:hAnsi="Times New Roman" w:eastAsia="宋体" w:cs="Times New Roman"/>
                <w:lang w:eastAsia="zh-CN"/>
              </w:rPr>
              <w:t>讲</w:t>
            </w:r>
            <w:r>
              <w:rPr>
                <w:rFonts w:ascii="Times New Roman" w:hAnsi="Times New Roman" w:cs="Times New Roman"/>
                <w:lang w:eastAsia="zh-CN"/>
              </w:rPr>
              <w:t>座二</w:t>
            </w:r>
          </w:p>
          <w:p w14:paraId="677DB088">
            <w:pPr>
              <w:spacing w:line="360" w:lineRule="auto"/>
              <w:jc w:val="center"/>
              <w:rPr>
                <w:rFonts w:ascii="Times New Roman" w:hAnsi="Times New Roman" w:cs="Times New Roman"/>
                <w:lang w:eastAsia="zh-CN"/>
              </w:rPr>
            </w:pPr>
            <w:r>
              <w:rPr>
                <w:rFonts w:ascii="Times New Roman" w:hAnsi="Times New Roman" w:cs="Times New Roman"/>
                <w:lang w:eastAsia="zh-CN"/>
              </w:rPr>
              <w:t>9</w:t>
            </w:r>
            <w:r>
              <w:rPr>
                <w:rFonts w:hint="eastAsia" w:ascii="Times New Roman" w:hAnsi="Times New Roman" w:cs="Times New Roman"/>
                <w:lang w:eastAsia="zh-CN"/>
              </w:rPr>
              <w:t>月</w:t>
            </w:r>
            <w:r>
              <w:rPr>
                <w:rFonts w:ascii="Times New Roman" w:hAnsi="Times New Roman" w:cs="Times New Roman"/>
                <w:lang w:eastAsia="zh-CN"/>
              </w:rPr>
              <w:t>2</w:t>
            </w:r>
            <w:r>
              <w:rPr>
                <w:rFonts w:hint="eastAsia" w:ascii="Times New Roman" w:hAnsi="Times New Roman" w:cs="Times New Roman"/>
                <w:lang w:eastAsia="zh-CN"/>
              </w:rPr>
              <w:t>2日</w:t>
            </w:r>
            <w:r>
              <w:rPr>
                <w:rFonts w:hint="eastAsia" w:ascii="Times New Roman" w:hAnsi="Times New Roman" w:cs="Times New Roman"/>
                <w:lang w:val="en-US" w:eastAsia="zh-CN"/>
              </w:rPr>
              <w:t>下午</w:t>
            </w:r>
            <w:r>
              <w:rPr>
                <w:rFonts w:hint="eastAsia" w:ascii="Times New Roman" w:hAnsi="Times New Roman" w:cs="Times New Roman"/>
                <w:lang w:eastAsia="zh-CN"/>
              </w:rPr>
              <w:t>（周二）</w:t>
            </w:r>
          </w:p>
          <w:p w14:paraId="5BEA4B2A">
            <w:pPr>
              <w:spacing w:line="360" w:lineRule="auto"/>
              <w:jc w:val="center"/>
              <w:rPr>
                <w:rFonts w:ascii="Times New Roman" w:hAnsi="Times New Roman" w:cs="Times New Roman"/>
                <w:lang w:eastAsia="zh-CN"/>
              </w:rPr>
            </w:pPr>
          </w:p>
        </w:tc>
        <w:tc>
          <w:tcPr>
            <w:tcW w:w="4921" w:type="dxa"/>
            <w:vAlign w:val="center"/>
          </w:tcPr>
          <w:p w14:paraId="46526A77">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System of norms</w:t>
            </w:r>
          </w:p>
          <w:p w14:paraId="62CB39C2">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 xml:space="preserve"> “Types of legal systems: Roman and Common Law”  (Hammel in GNS, Gibbons)</w:t>
            </w:r>
          </w:p>
          <w:p w14:paraId="2973C236">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“The notion of precedent” (Schauer, Tiersma (Parchment)</w:t>
            </w:r>
          </w:p>
          <w:p w14:paraId="58EE5953">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“Textualisation and History of Law in England” (Tiersma, Parchment.)</w:t>
            </w:r>
          </w:p>
          <w:p w14:paraId="4AE59879">
            <w:pPr>
              <w:spacing w:line="360" w:lineRule="auto"/>
              <w:jc w:val="center"/>
              <w:rPr>
                <w:rFonts w:ascii="Times New Roman" w:hAnsi="Times New Roman" w:cs="Times New Roman"/>
                <w:lang w:eastAsia="en-US"/>
              </w:rPr>
            </w:pPr>
          </w:p>
        </w:tc>
        <w:tc>
          <w:tcPr>
            <w:tcW w:w="1294" w:type="dxa"/>
            <w:vAlign w:val="center"/>
          </w:tcPr>
          <w:p w14:paraId="65173332">
            <w:pPr>
              <w:spacing w:line="360" w:lineRule="auto"/>
              <w:jc w:val="center"/>
              <w:rPr>
                <w:rFonts w:ascii="Times New Roman" w:hAnsi="Times New Roman" w:eastAsia="宋体" w:cs="Times New Roman"/>
                <w:lang w:eastAsia="zh-CN"/>
              </w:rPr>
            </w:pPr>
            <w:r>
              <w:rPr>
                <w:rFonts w:hint="eastAsia" w:ascii="Times New Roman" w:hAnsi="Times New Roman" w:eastAsia="宋体" w:cs="Times New Roman"/>
                <w:lang w:eastAsia="zh-CN"/>
              </w:rPr>
              <w:t>宋丽珏教授、课程助理</w:t>
            </w:r>
          </w:p>
        </w:tc>
        <w:tc>
          <w:tcPr>
            <w:tcW w:w="1780" w:type="dxa"/>
            <w:vAlign w:val="center"/>
          </w:tcPr>
          <w:p w14:paraId="05FBBA2C">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eastAsia="zh-CN"/>
              </w:rPr>
              <w:t>松江校区</w:t>
            </w:r>
          </w:p>
          <w:p w14:paraId="4613EBD1">
            <w:pPr>
              <w:spacing w:line="360" w:lineRule="auto"/>
              <w:jc w:val="center"/>
              <w:textAlignment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明法楼西楼B203</w:t>
            </w:r>
          </w:p>
        </w:tc>
      </w:tr>
      <w:tr w14:paraId="58A9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16DA1CF7">
            <w:pPr>
              <w:spacing w:line="360" w:lineRule="auto"/>
              <w:jc w:val="center"/>
              <w:rPr>
                <w:rFonts w:ascii="Times New Roman" w:hAnsi="Times New Roman" w:cs="Times New Roman"/>
                <w:lang w:eastAsia="zh-CN"/>
              </w:rPr>
            </w:pPr>
            <w:r>
              <w:rPr>
                <w:rFonts w:ascii="Times New Roman" w:hAnsi="Times New Roman" w:eastAsia="宋体" w:cs="Times New Roman"/>
                <w:lang w:eastAsia="zh-CN"/>
              </w:rPr>
              <w:t>讲</w:t>
            </w:r>
            <w:r>
              <w:rPr>
                <w:rFonts w:ascii="Times New Roman" w:hAnsi="Times New Roman" w:cs="Times New Roman"/>
                <w:lang w:eastAsia="zh-CN"/>
              </w:rPr>
              <w:t>座三</w:t>
            </w:r>
          </w:p>
          <w:p w14:paraId="4895F14B">
            <w:pPr>
              <w:spacing w:line="360" w:lineRule="auto"/>
              <w:jc w:val="center"/>
              <w:rPr>
                <w:rFonts w:ascii="Times New Roman" w:hAnsi="Times New Roman" w:cs="Times New Roman"/>
                <w:lang w:eastAsia="zh-CN"/>
              </w:rPr>
            </w:pPr>
            <w:r>
              <w:rPr>
                <w:rFonts w:ascii="Times New Roman" w:hAnsi="Times New Roman" w:cs="Times New Roman"/>
                <w:lang w:eastAsia="zh-CN"/>
              </w:rPr>
              <w:t>9</w:t>
            </w:r>
            <w:r>
              <w:rPr>
                <w:rFonts w:hint="eastAsia" w:ascii="Times New Roman" w:hAnsi="Times New Roman" w:cs="Times New Roman"/>
                <w:lang w:eastAsia="zh-CN"/>
              </w:rPr>
              <w:t>月23日上午（周三）</w:t>
            </w:r>
          </w:p>
          <w:p w14:paraId="3B56A19D">
            <w:pPr>
              <w:spacing w:line="360" w:lineRule="auto"/>
              <w:jc w:val="center"/>
              <w:rPr>
                <w:rFonts w:ascii="Times New Roman" w:hAnsi="Times New Roman" w:cs="Times New Roman"/>
                <w:lang w:eastAsia="zh-CN"/>
              </w:rPr>
            </w:pPr>
          </w:p>
        </w:tc>
        <w:tc>
          <w:tcPr>
            <w:tcW w:w="4921" w:type="dxa"/>
            <w:vAlign w:val="center"/>
          </w:tcPr>
          <w:p w14:paraId="0582D5F0">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What is language?</w:t>
            </w:r>
          </w:p>
          <w:p w14:paraId="0755F9C2">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“Myths about legal language”  (Tiersma)</w:t>
            </w:r>
          </w:p>
          <w:p w14:paraId="085B4958">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“The field of pragmatics and applicability to Law “(Alba-Juez..Pragmatics, speech act theory) (Carston, Relevance theory)</w:t>
            </w:r>
          </w:p>
          <w:p w14:paraId="31195B7C">
            <w:pPr>
              <w:spacing w:line="360" w:lineRule="auto"/>
              <w:jc w:val="center"/>
              <w:rPr>
                <w:rFonts w:ascii="Times New Roman" w:hAnsi="Times New Roman" w:cs="Times New Roman"/>
                <w:lang w:eastAsia="en-US"/>
              </w:rPr>
            </w:pPr>
            <w:r>
              <w:rPr>
                <w:rFonts w:ascii="Times New Roman" w:hAnsi="Times New Roman" w:eastAsia="宋体" w:cs="Times New Roman"/>
                <w:lang w:eastAsia="en-US"/>
              </w:rPr>
              <w:t>Genre and legal genres (Kurzon, Engberg)</w:t>
            </w:r>
          </w:p>
        </w:tc>
        <w:tc>
          <w:tcPr>
            <w:tcW w:w="1294" w:type="dxa"/>
            <w:vAlign w:val="center"/>
          </w:tcPr>
          <w:p w14:paraId="34D76576">
            <w:pPr>
              <w:spacing w:line="360" w:lineRule="auto"/>
              <w:jc w:val="center"/>
              <w:rPr>
                <w:rFonts w:ascii="Times New Roman" w:hAnsi="Times New Roman" w:eastAsia="宋体" w:cs="Times New Roman"/>
                <w:lang w:eastAsia="zh-CN"/>
              </w:rPr>
            </w:pPr>
            <w:r>
              <w:rPr>
                <w:rFonts w:hint="eastAsia" w:ascii="Times New Roman" w:hAnsi="Times New Roman" w:eastAsia="宋体" w:cs="Times New Roman"/>
                <w:lang w:eastAsia="zh-CN"/>
              </w:rPr>
              <w:t>宋丽珏教授、课程助理</w:t>
            </w:r>
          </w:p>
        </w:tc>
        <w:tc>
          <w:tcPr>
            <w:tcW w:w="1780" w:type="dxa"/>
            <w:vAlign w:val="center"/>
          </w:tcPr>
          <w:p w14:paraId="465C294C">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eastAsia="zh-CN"/>
              </w:rPr>
              <w:t>松江校区</w:t>
            </w:r>
          </w:p>
          <w:p w14:paraId="717B8851">
            <w:pPr>
              <w:spacing w:line="360" w:lineRule="auto"/>
              <w:jc w:val="center"/>
              <w:textAlignment w:val="center"/>
              <w:rPr>
                <w:rFonts w:hint="default" w:ascii="Times New Roman" w:hAnsi="Times New Roman" w:cs="Times New Roman"/>
                <w:lang w:val="en-US" w:eastAsia="zh-CN"/>
              </w:rPr>
            </w:pPr>
            <w:r>
              <w:rPr>
                <w:rFonts w:hint="eastAsia" w:ascii="Times New Roman" w:hAnsi="Times New Roman" w:cs="Times New Roman"/>
                <w:lang w:val="en-US" w:eastAsia="zh-CN"/>
              </w:rPr>
              <w:t>明法楼西楼C202</w:t>
            </w:r>
          </w:p>
        </w:tc>
      </w:tr>
      <w:tr w14:paraId="213E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6BA6E6EE">
            <w:pPr>
              <w:spacing w:line="360" w:lineRule="auto"/>
              <w:jc w:val="center"/>
              <w:rPr>
                <w:rFonts w:ascii="Times New Roman" w:hAnsi="Times New Roman" w:cs="Times New Roman"/>
                <w:lang w:eastAsia="zh-CN"/>
              </w:rPr>
            </w:pPr>
            <w:r>
              <w:rPr>
                <w:rFonts w:ascii="Times New Roman" w:hAnsi="Times New Roman" w:eastAsia="宋体" w:cs="Times New Roman"/>
                <w:lang w:eastAsia="zh-CN"/>
              </w:rPr>
              <w:t>讲</w:t>
            </w:r>
            <w:r>
              <w:rPr>
                <w:rFonts w:ascii="Times New Roman" w:hAnsi="Times New Roman" w:cs="Times New Roman"/>
                <w:lang w:eastAsia="zh-CN"/>
              </w:rPr>
              <w:t>座四</w:t>
            </w:r>
          </w:p>
          <w:p w14:paraId="7CF627BA">
            <w:pPr>
              <w:spacing w:line="360" w:lineRule="auto"/>
              <w:jc w:val="center"/>
              <w:rPr>
                <w:rFonts w:ascii="Times New Roman" w:hAnsi="Times New Roman" w:cs="Times New Roman"/>
                <w:lang w:eastAsia="zh-CN"/>
              </w:rPr>
            </w:pPr>
            <w:r>
              <w:rPr>
                <w:rFonts w:hint="eastAsia" w:ascii="Times New Roman" w:hAnsi="Times New Roman" w:cs="Times New Roman"/>
                <w:lang w:eastAsia="zh-CN"/>
              </w:rPr>
              <w:t>9月23日下午（周三）</w:t>
            </w:r>
          </w:p>
          <w:p w14:paraId="0A5F00BC">
            <w:pPr>
              <w:spacing w:line="360" w:lineRule="auto"/>
              <w:rPr>
                <w:rFonts w:ascii="Times New Roman" w:hAnsi="Times New Roman" w:cs="Times New Roman"/>
                <w:lang w:eastAsia="zh-CN"/>
              </w:rPr>
            </w:pPr>
          </w:p>
        </w:tc>
        <w:tc>
          <w:tcPr>
            <w:tcW w:w="4921" w:type="dxa"/>
            <w:vAlign w:val="center"/>
          </w:tcPr>
          <w:p w14:paraId="79ABF101">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 xml:space="preserve">“Multilingual situations: Europe” (Colneric in Vogel, Legal Meanings..)(Biel  in Gozdz-Roskowski) </w:t>
            </w:r>
          </w:p>
          <w:p w14:paraId="5449A2DB">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“Translation issues and strategies in the European Union” (Olsen, Lorz, Stein, Translation issues…)</w:t>
            </w:r>
          </w:p>
          <w:p w14:paraId="27F99030">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“No access to the law: the case of Trayvon Martin (Rickford and King)</w:t>
            </w:r>
          </w:p>
          <w:p w14:paraId="2C1D591B">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“Language ideology in the legal process” (Eades, Ainsworth)</w:t>
            </w:r>
          </w:p>
          <w:p w14:paraId="7CF02836">
            <w:pPr>
              <w:spacing w:line="360" w:lineRule="auto"/>
              <w:jc w:val="center"/>
              <w:rPr>
                <w:rFonts w:ascii="Times New Roman" w:hAnsi="Times New Roman" w:eastAsia="宋体" w:cs="Times New Roman"/>
                <w:lang w:eastAsia="en-US"/>
              </w:rPr>
            </w:pPr>
          </w:p>
          <w:p w14:paraId="2443A3CB">
            <w:pPr>
              <w:spacing w:line="360" w:lineRule="auto"/>
              <w:jc w:val="center"/>
              <w:rPr>
                <w:rFonts w:ascii="Times New Roman" w:hAnsi="Times New Roman" w:cs="Times New Roman"/>
                <w:lang w:eastAsia="en-US"/>
              </w:rPr>
            </w:pPr>
            <w:r>
              <w:rPr>
                <w:rFonts w:ascii="Times New Roman" w:hAnsi="Times New Roman" w:eastAsia="宋体" w:cs="Times New Roman"/>
                <w:lang w:eastAsia="en-US"/>
              </w:rPr>
              <w:t>Issues in legal Interpretation</w:t>
            </w:r>
          </w:p>
        </w:tc>
        <w:tc>
          <w:tcPr>
            <w:tcW w:w="1294" w:type="dxa"/>
            <w:vAlign w:val="center"/>
          </w:tcPr>
          <w:p w14:paraId="51EF661B">
            <w:pPr>
              <w:spacing w:line="360" w:lineRule="auto"/>
              <w:jc w:val="center"/>
              <w:rPr>
                <w:rFonts w:ascii="Times New Roman" w:hAnsi="Times New Roman" w:eastAsia="宋体" w:cs="Times New Roman"/>
                <w:lang w:eastAsia="zh-CN"/>
              </w:rPr>
            </w:pPr>
            <w:r>
              <w:rPr>
                <w:rFonts w:hint="eastAsia" w:ascii="Times New Roman" w:hAnsi="Times New Roman" w:eastAsia="宋体" w:cs="Times New Roman"/>
                <w:lang w:eastAsia="zh-CN"/>
              </w:rPr>
              <w:t>宋丽珏教授、课程助理</w:t>
            </w:r>
          </w:p>
        </w:tc>
        <w:tc>
          <w:tcPr>
            <w:tcW w:w="1780" w:type="dxa"/>
            <w:vAlign w:val="center"/>
          </w:tcPr>
          <w:p w14:paraId="682CFEF6">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eastAsia="zh-CN"/>
              </w:rPr>
              <w:t>松江校区</w:t>
            </w:r>
          </w:p>
          <w:p w14:paraId="559162DB">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val="en-US" w:eastAsia="zh-CN"/>
              </w:rPr>
              <w:t>明法楼西楼C202</w:t>
            </w:r>
          </w:p>
        </w:tc>
      </w:tr>
      <w:tr w14:paraId="220F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6363DDB3">
            <w:pPr>
              <w:spacing w:line="360" w:lineRule="auto"/>
              <w:jc w:val="center"/>
              <w:rPr>
                <w:rFonts w:ascii="Times New Roman" w:hAnsi="Times New Roman" w:cs="Times New Roman"/>
                <w:lang w:eastAsia="zh-CN"/>
              </w:rPr>
            </w:pPr>
            <w:r>
              <w:rPr>
                <w:rFonts w:ascii="Times New Roman" w:hAnsi="Times New Roman" w:eastAsia="宋体" w:cs="Times New Roman"/>
                <w:lang w:eastAsia="zh-CN"/>
              </w:rPr>
              <w:t>讲</w:t>
            </w:r>
            <w:r>
              <w:rPr>
                <w:rFonts w:ascii="Times New Roman" w:hAnsi="Times New Roman" w:cs="Times New Roman"/>
                <w:lang w:eastAsia="zh-CN"/>
              </w:rPr>
              <w:t>座五</w:t>
            </w:r>
          </w:p>
          <w:p w14:paraId="03AE0BF2">
            <w:pPr>
              <w:spacing w:line="360" w:lineRule="auto"/>
              <w:jc w:val="center"/>
              <w:rPr>
                <w:rFonts w:ascii="Times New Roman" w:hAnsi="Times New Roman" w:cs="Times New Roman"/>
                <w:lang w:eastAsia="zh-CN"/>
              </w:rPr>
            </w:pPr>
            <w:r>
              <w:rPr>
                <w:rFonts w:hint="eastAsia" w:ascii="Times New Roman" w:hAnsi="Times New Roman" w:cs="Times New Roman"/>
                <w:lang w:eastAsia="zh-CN"/>
              </w:rPr>
              <w:t>9月24日</w:t>
            </w:r>
            <w:r>
              <w:rPr>
                <w:rFonts w:hint="eastAsia" w:ascii="Times New Roman" w:hAnsi="Times New Roman" w:cs="Times New Roman"/>
                <w:lang w:val="en-US" w:eastAsia="zh-CN"/>
              </w:rPr>
              <w:t>上午</w:t>
            </w:r>
            <w:r>
              <w:rPr>
                <w:rFonts w:hint="eastAsia" w:ascii="Times New Roman" w:hAnsi="Times New Roman" w:cs="Times New Roman"/>
                <w:lang w:eastAsia="zh-CN"/>
              </w:rPr>
              <w:t>（周四）</w:t>
            </w:r>
          </w:p>
          <w:p w14:paraId="470CE48F">
            <w:pPr>
              <w:spacing w:line="360" w:lineRule="auto"/>
              <w:jc w:val="center"/>
              <w:rPr>
                <w:rFonts w:ascii="Times New Roman" w:hAnsi="Times New Roman" w:cs="Times New Roman"/>
                <w:lang w:eastAsia="zh-CN"/>
              </w:rPr>
            </w:pPr>
          </w:p>
        </w:tc>
        <w:tc>
          <w:tcPr>
            <w:tcW w:w="4921" w:type="dxa"/>
            <w:vAlign w:val="center"/>
          </w:tcPr>
          <w:p w14:paraId="54A90AC7">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Notions and Levels of Interpretation (Poscher in OHLL, Skoczen)</w:t>
            </w:r>
          </w:p>
          <w:p w14:paraId="740F6369">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Comprehension vs Interpretation</w:t>
            </w:r>
          </w:p>
          <w:p w14:paraId="0D659B4C">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Types of indeterminacy (Witcak-P )</w:t>
            </w:r>
          </w:p>
          <w:p w14:paraId="0E0378AC">
            <w:pPr>
              <w:spacing w:line="360" w:lineRule="auto"/>
              <w:jc w:val="center"/>
              <w:rPr>
                <w:rFonts w:ascii="Times New Roman" w:hAnsi="Times New Roman" w:cs="Times New Roman"/>
                <w:lang w:eastAsia="en-US"/>
              </w:rPr>
            </w:pPr>
            <w:r>
              <w:rPr>
                <w:rFonts w:ascii="Times New Roman" w:hAnsi="Times New Roman" w:eastAsia="宋体" w:cs="Times New Roman"/>
                <w:lang w:eastAsia="en-US"/>
              </w:rPr>
              <w:t>Ordinary and plain meanings (Gale and Solan)</w:t>
            </w:r>
          </w:p>
        </w:tc>
        <w:tc>
          <w:tcPr>
            <w:tcW w:w="1294" w:type="dxa"/>
            <w:vAlign w:val="center"/>
          </w:tcPr>
          <w:p w14:paraId="36390B98">
            <w:pPr>
              <w:spacing w:line="360" w:lineRule="auto"/>
              <w:jc w:val="center"/>
              <w:rPr>
                <w:rFonts w:ascii="Times New Roman" w:hAnsi="Times New Roman" w:eastAsia="宋体" w:cs="Times New Roman"/>
                <w:lang w:eastAsia="zh-CN"/>
              </w:rPr>
            </w:pPr>
            <w:r>
              <w:rPr>
                <w:rFonts w:hint="eastAsia" w:ascii="Times New Roman" w:hAnsi="Times New Roman" w:eastAsia="宋体" w:cs="Times New Roman"/>
                <w:lang w:eastAsia="zh-CN"/>
              </w:rPr>
              <w:t>宋丽珏教授、课程助理</w:t>
            </w:r>
          </w:p>
        </w:tc>
        <w:tc>
          <w:tcPr>
            <w:tcW w:w="1780" w:type="dxa"/>
            <w:vAlign w:val="center"/>
          </w:tcPr>
          <w:p w14:paraId="457E8708">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eastAsia="zh-CN"/>
              </w:rPr>
              <w:t>松江校区</w:t>
            </w:r>
          </w:p>
          <w:p w14:paraId="4ABF2C90">
            <w:pPr>
              <w:spacing w:line="360" w:lineRule="auto"/>
              <w:jc w:val="center"/>
              <w:textAlignment w:val="center"/>
              <w:rPr>
                <w:rFonts w:hint="default" w:ascii="Times New Roman" w:hAnsi="Times New Roman" w:cs="Times New Roman"/>
                <w:lang w:val="en-US" w:eastAsia="zh-CN"/>
              </w:rPr>
            </w:pPr>
            <w:r>
              <w:rPr>
                <w:rFonts w:hint="eastAsia" w:ascii="Times New Roman" w:hAnsi="Times New Roman" w:cs="Times New Roman"/>
                <w:lang w:val="en-US" w:eastAsia="zh-CN"/>
              </w:rPr>
              <w:t>明法楼西楼B301</w:t>
            </w:r>
          </w:p>
        </w:tc>
      </w:tr>
      <w:tr w14:paraId="1D17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38BE242C">
            <w:pPr>
              <w:spacing w:line="360" w:lineRule="auto"/>
              <w:jc w:val="center"/>
              <w:rPr>
                <w:rFonts w:ascii="Times New Roman" w:hAnsi="Times New Roman" w:cs="Times New Roman"/>
                <w:lang w:eastAsia="zh-CN"/>
              </w:rPr>
            </w:pPr>
            <w:r>
              <w:rPr>
                <w:rFonts w:ascii="Times New Roman" w:hAnsi="Times New Roman" w:eastAsia="宋体" w:cs="Times New Roman"/>
                <w:lang w:eastAsia="zh-CN"/>
              </w:rPr>
              <w:t>讲</w:t>
            </w:r>
            <w:r>
              <w:rPr>
                <w:rFonts w:ascii="Times New Roman" w:hAnsi="Times New Roman" w:cs="Times New Roman"/>
                <w:lang w:eastAsia="zh-CN"/>
              </w:rPr>
              <w:t>座六</w:t>
            </w:r>
          </w:p>
          <w:p w14:paraId="717E702B">
            <w:pPr>
              <w:spacing w:line="360" w:lineRule="auto"/>
              <w:jc w:val="center"/>
              <w:rPr>
                <w:rFonts w:ascii="Times New Roman" w:hAnsi="Times New Roman" w:cs="Times New Roman"/>
                <w:lang w:eastAsia="zh-CN"/>
              </w:rPr>
            </w:pPr>
            <w:r>
              <w:rPr>
                <w:rFonts w:hint="eastAsia" w:ascii="Times New Roman" w:hAnsi="Times New Roman" w:cs="Times New Roman"/>
                <w:lang w:eastAsia="zh-CN"/>
              </w:rPr>
              <w:t>9月24日</w:t>
            </w:r>
            <w:r>
              <w:rPr>
                <w:rFonts w:hint="eastAsia" w:ascii="Times New Roman" w:hAnsi="Times New Roman" w:cs="Times New Roman"/>
                <w:lang w:val="en-US" w:eastAsia="zh-CN"/>
              </w:rPr>
              <w:t>下午</w:t>
            </w:r>
            <w:r>
              <w:rPr>
                <w:rFonts w:hint="eastAsia" w:ascii="Times New Roman" w:hAnsi="Times New Roman" w:cs="Times New Roman"/>
                <w:lang w:eastAsia="zh-CN"/>
              </w:rPr>
              <w:t>（周四）</w:t>
            </w:r>
          </w:p>
          <w:p w14:paraId="1AA206B4">
            <w:pPr>
              <w:spacing w:line="360" w:lineRule="auto"/>
              <w:rPr>
                <w:rFonts w:ascii="Times New Roman" w:hAnsi="Times New Roman" w:cs="Times New Roman"/>
                <w:lang w:eastAsia="zh-CN"/>
              </w:rPr>
            </w:pPr>
          </w:p>
        </w:tc>
        <w:tc>
          <w:tcPr>
            <w:tcW w:w="4921" w:type="dxa"/>
            <w:vAlign w:val="center"/>
          </w:tcPr>
          <w:p w14:paraId="54E7DC37">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Levels of Meaning construction: Neo-Gricean pragmatics</w:t>
            </w:r>
          </w:p>
          <w:p w14:paraId="5DF805FE">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“Syntactic Ambiguity and Interpretation” (Macagno, ch.3)</w:t>
            </w:r>
          </w:p>
          <w:p w14:paraId="0F0ABD37">
            <w:pPr>
              <w:spacing w:line="360" w:lineRule="auto"/>
              <w:jc w:val="center"/>
              <w:rPr>
                <w:rFonts w:ascii="Times New Roman" w:hAnsi="Times New Roman" w:eastAsia="宋体" w:cs="Times New Roman"/>
                <w:lang w:eastAsia="en-US"/>
              </w:rPr>
            </w:pPr>
            <w:r>
              <w:rPr>
                <w:rFonts w:ascii="Times New Roman" w:hAnsi="Times New Roman" w:eastAsia="宋体" w:cs="Times New Roman"/>
                <w:lang w:eastAsia="en-US"/>
              </w:rPr>
              <w:t>Notions of “Literal” meaning, “What is said” and plain meaning</w:t>
            </w:r>
          </w:p>
          <w:p w14:paraId="2A099596">
            <w:pPr>
              <w:spacing w:line="360" w:lineRule="auto"/>
              <w:jc w:val="center"/>
              <w:rPr>
                <w:rFonts w:ascii="Times New Roman" w:hAnsi="Times New Roman" w:cs="Times New Roman"/>
                <w:lang w:eastAsia="en-US"/>
              </w:rPr>
            </w:pPr>
            <w:r>
              <w:rPr>
                <w:rFonts w:ascii="Times New Roman" w:hAnsi="Times New Roman" w:eastAsia="宋体" w:cs="Times New Roman"/>
                <w:lang w:eastAsia="en-US"/>
              </w:rPr>
              <w:t>Literalism, Intentionalism, Originalism</w:t>
            </w:r>
          </w:p>
        </w:tc>
        <w:tc>
          <w:tcPr>
            <w:tcW w:w="1294" w:type="dxa"/>
            <w:vAlign w:val="center"/>
          </w:tcPr>
          <w:p w14:paraId="4CBC7495">
            <w:pPr>
              <w:spacing w:line="360" w:lineRule="auto"/>
              <w:jc w:val="center"/>
              <w:rPr>
                <w:rFonts w:ascii="Times New Roman" w:hAnsi="Times New Roman" w:eastAsia="宋体" w:cs="Times New Roman"/>
                <w:lang w:eastAsia="zh-CN"/>
              </w:rPr>
            </w:pPr>
            <w:r>
              <w:rPr>
                <w:rFonts w:hint="eastAsia" w:ascii="Times New Roman" w:hAnsi="Times New Roman" w:eastAsia="宋体" w:cs="Times New Roman"/>
                <w:lang w:eastAsia="zh-CN"/>
              </w:rPr>
              <w:t>宋丽珏教授、课程助理</w:t>
            </w:r>
          </w:p>
        </w:tc>
        <w:tc>
          <w:tcPr>
            <w:tcW w:w="1780" w:type="dxa"/>
            <w:vAlign w:val="center"/>
          </w:tcPr>
          <w:p w14:paraId="74D150D7">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eastAsia="zh-CN"/>
              </w:rPr>
              <w:t>松江校区</w:t>
            </w:r>
          </w:p>
          <w:p w14:paraId="5E068353">
            <w:pPr>
              <w:spacing w:line="360" w:lineRule="auto"/>
              <w:jc w:val="center"/>
              <w:textAlignment w:val="center"/>
              <w:rPr>
                <w:rFonts w:hint="default" w:ascii="Times New Roman" w:hAnsi="Times New Roman" w:cs="Times New Roman"/>
                <w:lang w:val="en-US" w:eastAsia="zh-CN"/>
              </w:rPr>
            </w:pPr>
            <w:r>
              <w:rPr>
                <w:rFonts w:hint="eastAsia" w:ascii="Times New Roman" w:hAnsi="Times New Roman" w:cs="Times New Roman"/>
                <w:lang w:val="en-US" w:eastAsia="zh-CN"/>
              </w:rPr>
              <w:t>明法楼西楼C201</w:t>
            </w:r>
          </w:p>
        </w:tc>
      </w:tr>
      <w:tr w14:paraId="36E7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4" w:type="dxa"/>
            <w:vAlign w:val="center"/>
          </w:tcPr>
          <w:p w14:paraId="2199CC4F">
            <w:pPr>
              <w:spacing w:line="360" w:lineRule="auto"/>
              <w:jc w:val="center"/>
              <w:rPr>
                <w:rFonts w:ascii="Times New Roman" w:hAnsi="Times New Roman" w:cs="Times New Roman"/>
                <w:lang w:eastAsia="zh-CN"/>
              </w:rPr>
            </w:pPr>
            <w:r>
              <w:rPr>
                <w:rFonts w:ascii="Times New Roman" w:hAnsi="Times New Roman" w:eastAsia="宋体" w:cs="Times New Roman"/>
                <w:lang w:eastAsia="zh-CN"/>
              </w:rPr>
              <w:t>讲</w:t>
            </w:r>
            <w:r>
              <w:rPr>
                <w:rFonts w:ascii="Times New Roman" w:hAnsi="Times New Roman" w:cs="Times New Roman"/>
                <w:lang w:eastAsia="zh-CN"/>
              </w:rPr>
              <w:t>座七</w:t>
            </w:r>
          </w:p>
          <w:p w14:paraId="243FC246">
            <w:pPr>
              <w:spacing w:line="360" w:lineRule="auto"/>
              <w:jc w:val="center"/>
              <w:rPr>
                <w:rFonts w:ascii="Times New Roman" w:hAnsi="Times New Roman" w:cs="Times New Roman"/>
                <w:lang w:eastAsia="zh-CN"/>
              </w:rPr>
            </w:pPr>
            <w:r>
              <w:rPr>
                <w:rFonts w:hint="eastAsia" w:ascii="Times New Roman" w:hAnsi="Times New Roman" w:cs="Times New Roman"/>
                <w:lang w:eastAsia="zh-CN"/>
              </w:rPr>
              <w:t>9月29日</w:t>
            </w:r>
            <w:r>
              <w:rPr>
                <w:rFonts w:hint="eastAsia" w:ascii="Times New Roman" w:hAnsi="Times New Roman" w:cs="Times New Roman"/>
                <w:lang w:val="en-US" w:eastAsia="zh-CN"/>
              </w:rPr>
              <w:t>上午</w:t>
            </w:r>
            <w:r>
              <w:rPr>
                <w:rFonts w:hint="eastAsia" w:ascii="Times New Roman" w:hAnsi="Times New Roman" w:cs="Times New Roman"/>
                <w:lang w:eastAsia="zh-CN"/>
              </w:rPr>
              <w:t>（周二）</w:t>
            </w:r>
          </w:p>
          <w:p w14:paraId="3D0CCD86">
            <w:pPr>
              <w:spacing w:line="360" w:lineRule="auto"/>
              <w:jc w:val="center"/>
              <w:rPr>
                <w:rFonts w:ascii="Times New Roman" w:hAnsi="Times New Roman" w:cs="Times New Roman"/>
                <w:lang w:eastAsia="zh-CN"/>
              </w:rPr>
            </w:pPr>
          </w:p>
        </w:tc>
        <w:tc>
          <w:tcPr>
            <w:tcW w:w="4921" w:type="dxa"/>
            <w:vAlign w:val="center"/>
          </w:tcPr>
          <w:p w14:paraId="2F355C35">
            <w:pPr>
              <w:spacing w:line="360" w:lineRule="auto"/>
              <w:jc w:val="center"/>
              <w:rPr>
                <w:rFonts w:ascii="Times New Roman" w:hAnsi="Times New Roman" w:cs="Times New Roman"/>
                <w:lang w:eastAsia="en-US"/>
              </w:rPr>
            </w:pPr>
            <w:r>
              <w:rPr>
                <w:rFonts w:ascii="Times New Roman" w:hAnsi="Times New Roman" w:cs="Times New Roman"/>
                <w:lang w:eastAsia="en-US"/>
              </w:rPr>
              <w:t>Language Crimes: “Threatening by language” (Muschalik, Threatening in English)</w:t>
            </w:r>
          </w:p>
          <w:p w14:paraId="2D1F1E85">
            <w:pPr>
              <w:spacing w:line="360" w:lineRule="auto"/>
              <w:jc w:val="center"/>
              <w:rPr>
                <w:rFonts w:ascii="Times New Roman" w:hAnsi="Times New Roman" w:cs="Times New Roman"/>
                <w:lang w:eastAsia="en-US"/>
              </w:rPr>
            </w:pPr>
            <w:r>
              <w:rPr>
                <w:rFonts w:ascii="Times New Roman" w:hAnsi="Times New Roman" w:cs="Times New Roman"/>
                <w:lang w:eastAsia="en-US"/>
              </w:rPr>
              <w:t>Literal meaning in hate speech and arts (Arzoumanov, CGN St)</w:t>
            </w:r>
          </w:p>
          <w:p w14:paraId="1DE28FD0">
            <w:pPr>
              <w:spacing w:line="360" w:lineRule="auto"/>
              <w:jc w:val="center"/>
              <w:rPr>
                <w:rFonts w:ascii="Times New Roman" w:hAnsi="Times New Roman" w:cs="Times New Roman"/>
                <w:lang w:eastAsia="en-US"/>
              </w:rPr>
            </w:pPr>
            <w:r>
              <w:rPr>
                <w:rFonts w:ascii="Times New Roman" w:hAnsi="Times New Roman" w:cs="Times New Roman"/>
                <w:lang w:eastAsia="en-US"/>
              </w:rPr>
              <w:t>Hate speech (VGN)</w:t>
            </w:r>
          </w:p>
        </w:tc>
        <w:tc>
          <w:tcPr>
            <w:tcW w:w="1294" w:type="dxa"/>
            <w:vAlign w:val="center"/>
          </w:tcPr>
          <w:p w14:paraId="17B3DA95">
            <w:pPr>
              <w:spacing w:line="360" w:lineRule="auto"/>
              <w:jc w:val="center"/>
              <w:rPr>
                <w:rFonts w:ascii="Times New Roman" w:hAnsi="Times New Roman" w:cs="Times New Roman"/>
                <w:lang w:eastAsia="zh-CN"/>
              </w:rPr>
            </w:pPr>
            <w:r>
              <w:rPr>
                <w:rFonts w:hint="eastAsia" w:ascii="Times New Roman" w:hAnsi="Times New Roman" w:eastAsia="宋体" w:cs="Times New Roman"/>
                <w:lang w:eastAsia="zh-CN"/>
              </w:rPr>
              <w:t>宋丽珏教授、课程助理</w:t>
            </w:r>
          </w:p>
        </w:tc>
        <w:tc>
          <w:tcPr>
            <w:tcW w:w="1780" w:type="dxa"/>
            <w:vAlign w:val="center"/>
          </w:tcPr>
          <w:p w14:paraId="69D54C8F">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eastAsia="zh-CN"/>
              </w:rPr>
              <w:t>松江校区</w:t>
            </w:r>
          </w:p>
          <w:p w14:paraId="73E0C43C">
            <w:pPr>
              <w:spacing w:line="360" w:lineRule="auto"/>
              <w:jc w:val="center"/>
              <w:textAlignment w:val="center"/>
              <w:rPr>
                <w:rFonts w:hint="default" w:ascii="Times New Roman" w:hAnsi="Times New Roman" w:cs="Times New Roman"/>
                <w:lang w:val="en-US" w:eastAsia="zh-CN"/>
              </w:rPr>
            </w:pPr>
            <w:r>
              <w:rPr>
                <w:rFonts w:hint="eastAsia" w:ascii="Times New Roman" w:hAnsi="Times New Roman" w:cs="Times New Roman"/>
                <w:lang w:val="en-US" w:eastAsia="zh-CN"/>
              </w:rPr>
              <w:t>明法楼西楼D201</w:t>
            </w:r>
          </w:p>
        </w:tc>
      </w:tr>
      <w:tr w14:paraId="6BA9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824" w:type="dxa"/>
            <w:vAlign w:val="center"/>
          </w:tcPr>
          <w:p w14:paraId="5701DCE9">
            <w:pPr>
              <w:spacing w:line="360" w:lineRule="auto"/>
              <w:jc w:val="center"/>
              <w:rPr>
                <w:rFonts w:ascii="Times New Roman" w:hAnsi="Times New Roman" w:cs="Times New Roman"/>
                <w:lang w:eastAsia="zh-CN"/>
              </w:rPr>
            </w:pPr>
            <w:r>
              <w:rPr>
                <w:rFonts w:ascii="Times New Roman" w:hAnsi="Times New Roman" w:eastAsia="宋体" w:cs="Times New Roman"/>
                <w:lang w:eastAsia="zh-CN"/>
              </w:rPr>
              <w:t>讲</w:t>
            </w:r>
            <w:r>
              <w:rPr>
                <w:rFonts w:ascii="Times New Roman" w:hAnsi="Times New Roman" w:cs="Times New Roman"/>
                <w:lang w:eastAsia="zh-CN"/>
              </w:rPr>
              <w:t>座八</w:t>
            </w:r>
          </w:p>
          <w:p w14:paraId="7D84B6ED">
            <w:pPr>
              <w:spacing w:line="360" w:lineRule="auto"/>
              <w:jc w:val="center"/>
              <w:rPr>
                <w:rFonts w:ascii="Times New Roman" w:hAnsi="Times New Roman" w:cs="Times New Roman"/>
                <w:lang w:eastAsia="zh-CN"/>
              </w:rPr>
            </w:pPr>
            <w:r>
              <w:rPr>
                <w:rFonts w:hint="eastAsia" w:ascii="Times New Roman" w:hAnsi="Times New Roman" w:cs="Times New Roman"/>
                <w:lang w:eastAsia="zh-CN"/>
              </w:rPr>
              <w:t>9月29日</w:t>
            </w:r>
            <w:r>
              <w:rPr>
                <w:rFonts w:hint="eastAsia" w:ascii="Times New Roman" w:hAnsi="Times New Roman" w:cs="Times New Roman"/>
                <w:lang w:val="en-US" w:eastAsia="zh-CN"/>
              </w:rPr>
              <w:t>下午</w:t>
            </w:r>
            <w:r>
              <w:rPr>
                <w:rFonts w:hint="eastAsia" w:ascii="Times New Roman" w:hAnsi="Times New Roman" w:cs="Times New Roman"/>
                <w:lang w:eastAsia="zh-CN"/>
              </w:rPr>
              <w:t>（周二）</w:t>
            </w:r>
          </w:p>
          <w:p w14:paraId="676A8B98">
            <w:pPr>
              <w:spacing w:line="360" w:lineRule="auto"/>
              <w:jc w:val="center"/>
              <w:rPr>
                <w:rFonts w:ascii="Times New Roman" w:hAnsi="Times New Roman" w:cs="Times New Roman"/>
                <w:lang w:eastAsia="zh-CN"/>
              </w:rPr>
            </w:pPr>
          </w:p>
        </w:tc>
        <w:tc>
          <w:tcPr>
            <w:tcW w:w="4921" w:type="dxa"/>
            <w:vAlign w:val="center"/>
          </w:tcPr>
          <w:p w14:paraId="7D7A3CD4">
            <w:pPr>
              <w:spacing w:line="360" w:lineRule="auto"/>
              <w:jc w:val="center"/>
              <w:rPr>
                <w:rFonts w:ascii="Times New Roman" w:hAnsi="Times New Roman" w:cs="Times New Roman"/>
                <w:lang w:eastAsia="en-US"/>
              </w:rPr>
            </w:pPr>
            <w:r>
              <w:rPr>
                <w:rFonts w:ascii="Times New Roman" w:hAnsi="Times New Roman" w:cs="Times New Roman"/>
                <w:lang w:eastAsia="en-US"/>
              </w:rPr>
              <w:t>“The linguistics of lying” ( Horn, Nicklaus and Stein, Stein in GNS and Stein)</w:t>
            </w:r>
          </w:p>
          <w:p w14:paraId="557C7F75">
            <w:pPr>
              <w:spacing w:line="360" w:lineRule="auto"/>
              <w:jc w:val="center"/>
              <w:rPr>
                <w:rFonts w:ascii="Times New Roman" w:hAnsi="Times New Roman" w:cs="Times New Roman"/>
                <w:lang w:eastAsia="en-US"/>
              </w:rPr>
            </w:pPr>
            <w:r>
              <w:rPr>
                <w:rFonts w:ascii="Times New Roman" w:hAnsi="Times New Roman" w:cs="Times New Roman"/>
                <w:lang w:eastAsia="en-US"/>
              </w:rPr>
              <w:t xml:space="preserve">Lying at court </w:t>
            </w:r>
          </w:p>
          <w:p w14:paraId="2432A1D1">
            <w:pPr>
              <w:spacing w:line="360" w:lineRule="auto"/>
              <w:jc w:val="center"/>
              <w:rPr>
                <w:rFonts w:ascii="Times New Roman" w:hAnsi="Times New Roman" w:cs="Times New Roman"/>
                <w:lang w:eastAsia="en-US"/>
              </w:rPr>
            </w:pPr>
            <w:r>
              <w:rPr>
                <w:rFonts w:ascii="Times New Roman" w:hAnsi="Times New Roman" w:cs="Times New Roman"/>
                <w:lang w:eastAsia="en-US"/>
              </w:rPr>
              <w:t>“Lying by Silence” (Horn in Giltrow and Stein, Stratman)</w:t>
            </w:r>
          </w:p>
          <w:p w14:paraId="4576A17F">
            <w:pPr>
              <w:spacing w:line="360" w:lineRule="auto"/>
              <w:jc w:val="center"/>
              <w:rPr>
                <w:rFonts w:ascii="Times New Roman" w:hAnsi="Times New Roman" w:cs="Times New Roman"/>
                <w:lang w:eastAsia="en-US"/>
              </w:rPr>
            </w:pPr>
            <w:r>
              <w:rPr>
                <w:rFonts w:ascii="Times New Roman" w:hAnsi="Times New Roman" w:cs="Times New Roman"/>
                <w:lang w:eastAsia="en-US"/>
              </w:rPr>
              <w:t>“Lying and perjury”  (Douglis)</w:t>
            </w:r>
          </w:p>
          <w:p w14:paraId="731E656B">
            <w:pPr>
              <w:spacing w:line="360" w:lineRule="auto"/>
              <w:jc w:val="center"/>
              <w:rPr>
                <w:rFonts w:ascii="Times New Roman" w:hAnsi="Times New Roman" w:cs="Times New Roman"/>
                <w:lang w:eastAsia="en-US"/>
              </w:rPr>
            </w:pPr>
            <w:r>
              <w:rPr>
                <w:rFonts w:ascii="Times New Roman" w:hAnsi="Times New Roman" w:cs="Times New Roman"/>
                <w:lang w:eastAsia="en-US"/>
              </w:rPr>
              <w:t>Oral types of discourse at court</w:t>
            </w:r>
          </w:p>
        </w:tc>
        <w:tc>
          <w:tcPr>
            <w:tcW w:w="1294" w:type="dxa"/>
            <w:vAlign w:val="center"/>
          </w:tcPr>
          <w:p w14:paraId="7025A35E">
            <w:pPr>
              <w:spacing w:line="360" w:lineRule="auto"/>
              <w:jc w:val="center"/>
              <w:rPr>
                <w:rFonts w:ascii="Times New Roman" w:hAnsi="Times New Roman" w:cs="Times New Roman"/>
                <w:lang w:eastAsia="zh-CN"/>
              </w:rPr>
            </w:pPr>
            <w:r>
              <w:rPr>
                <w:rFonts w:hint="eastAsia" w:ascii="Times New Roman" w:hAnsi="Times New Roman" w:eastAsia="宋体" w:cs="Times New Roman"/>
                <w:lang w:eastAsia="zh-CN"/>
              </w:rPr>
              <w:t>宋丽珏教授、课程助理</w:t>
            </w:r>
          </w:p>
        </w:tc>
        <w:tc>
          <w:tcPr>
            <w:tcW w:w="1780" w:type="dxa"/>
            <w:vAlign w:val="center"/>
          </w:tcPr>
          <w:p w14:paraId="6EF943C2">
            <w:pPr>
              <w:spacing w:line="360" w:lineRule="auto"/>
              <w:jc w:val="center"/>
              <w:textAlignment w:val="center"/>
              <w:rPr>
                <w:rFonts w:hint="eastAsia" w:ascii="Times New Roman" w:hAnsi="Times New Roman" w:cs="Times New Roman"/>
                <w:lang w:eastAsia="zh-CN"/>
              </w:rPr>
            </w:pPr>
            <w:r>
              <w:rPr>
                <w:rFonts w:hint="eastAsia" w:ascii="Times New Roman" w:hAnsi="Times New Roman" w:cs="Times New Roman"/>
                <w:lang w:eastAsia="zh-CN"/>
              </w:rPr>
              <w:t>松江校区</w:t>
            </w:r>
          </w:p>
          <w:p w14:paraId="3D9C94E3">
            <w:pPr>
              <w:spacing w:line="360" w:lineRule="auto"/>
              <w:jc w:val="center"/>
              <w:textAlignment w:val="center"/>
              <w:rPr>
                <w:rFonts w:hint="default" w:ascii="Times New Roman" w:hAnsi="Times New Roman" w:cs="Times New Roman"/>
                <w:lang w:val="en-US" w:eastAsia="zh-CN"/>
              </w:rPr>
            </w:pPr>
            <w:r>
              <w:rPr>
                <w:rFonts w:hint="eastAsia" w:ascii="Times New Roman" w:hAnsi="Times New Roman" w:cs="Times New Roman"/>
                <w:lang w:val="en-US" w:eastAsia="zh-CN"/>
              </w:rPr>
              <w:t>明法楼西楼B203</w:t>
            </w:r>
          </w:p>
        </w:tc>
      </w:tr>
    </w:tbl>
    <w:p w14:paraId="5AA1A87A">
      <w:pPr>
        <w:spacing w:line="360" w:lineRule="auto"/>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ejaVu Sans">
    <w:altName w:val="Segoe Print"/>
    <w:panose1 w:val="00000000000000000000"/>
    <w:charset w:val="00"/>
    <w:family w:val="roman"/>
    <w:pitch w:val="default"/>
    <w:sig w:usb0="00000000" w:usb1="00000000" w:usb2="00000008" w:usb3="00000000" w:csb0="000001FF"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swiss"/>
    <w:pitch w:val="default"/>
    <w:sig w:usb0="E4002EFF" w:usb1="C000247B" w:usb2="00000009" w:usb3="00000000" w:csb0="200001FF" w:csb1="00000000"/>
  </w:font>
  <w:font w:name="Helvetica Neue">
    <w:altName w:val="Arial"/>
    <w:panose1 w:val="00000000000000000000"/>
    <w:charset w:val="00"/>
    <w:family w:val="auto"/>
    <w:pitch w:val="default"/>
    <w:sig w:usb0="00000000" w:usb1="00000000" w:usb2="00000010" w:usb3="00000000" w:csb0="00000001" w:csb1="00000000"/>
  </w:font>
  <w:font w:name=".pingfang sc">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xYTBmM2ExNDA5MTI5NmEwNjA4YTk5MmRmY2Y2MzgifQ=="/>
  </w:docVars>
  <w:rsids>
    <w:rsidRoot w:val="4BFFB7BE"/>
    <w:rsid w:val="000849EE"/>
    <w:rsid w:val="00232A08"/>
    <w:rsid w:val="00236BFC"/>
    <w:rsid w:val="002A5695"/>
    <w:rsid w:val="003C5684"/>
    <w:rsid w:val="0045288B"/>
    <w:rsid w:val="00661308"/>
    <w:rsid w:val="0067064B"/>
    <w:rsid w:val="00673A49"/>
    <w:rsid w:val="0069059F"/>
    <w:rsid w:val="00732EDD"/>
    <w:rsid w:val="007778E6"/>
    <w:rsid w:val="008144A7"/>
    <w:rsid w:val="00815187"/>
    <w:rsid w:val="00890987"/>
    <w:rsid w:val="0094782D"/>
    <w:rsid w:val="009759F9"/>
    <w:rsid w:val="009A1733"/>
    <w:rsid w:val="00A20026"/>
    <w:rsid w:val="00AE2778"/>
    <w:rsid w:val="00AE4B9F"/>
    <w:rsid w:val="00B70B5F"/>
    <w:rsid w:val="00BD0ADA"/>
    <w:rsid w:val="00C12B96"/>
    <w:rsid w:val="00C21341"/>
    <w:rsid w:val="00C822EC"/>
    <w:rsid w:val="00CE46B8"/>
    <w:rsid w:val="00CF3B77"/>
    <w:rsid w:val="00DE17B2"/>
    <w:rsid w:val="00E06406"/>
    <w:rsid w:val="00E44B51"/>
    <w:rsid w:val="00F13275"/>
    <w:rsid w:val="05DB4C3A"/>
    <w:rsid w:val="0FFD35E4"/>
    <w:rsid w:val="14E14FDD"/>
    <w:rsid w:val="18F03E0E"/>
    <w:rsid w:val="1EF3F188"/>
    <w:rsid w:val="1F2B361D"/>
    <w:rsid w:val="21725D08"/>
    <w:rsid w:val="21997E55"/>
    <w:rsid w:val="22F10EAE"/>
    <w:rsid w:val="279F712B"/>
    <w:rsid w:val="27F3F073"/>
    <w:rsid w:val="28D56B7C"/>
    <w:rsid w:val="32D1745A"/>
    <w:rsid w:val="3BA7784E"/>
    <w:rsid w:val="3BE739F1"/>
    <w:rsid w:val="3D1447CB"/>
    <w:rsid w:val="3E08749A"/>
    <w:rsid w:val="3EF6FF32"/>
    <w:rsid w:val="3F1E9251"/>
    <w:rsid w:val="4ABA3DB9"/>
    <w:rsid w:val="4BAE2D2E"/>
    <w:rsid w:val="4BFFB7BE"/>
    <w:rsid w:val="58580AAD"/>
    <w:rsid w:val="59FE49A2"/>
    <w:rsid w:val="5B680434"/>
    <w:rsid w:val="5E86C68D"/>
    <w:rsid w:val="5F6B1234"/>
    <w:rsid w:val="5F82431C"/>
    <w:rsid w:val="600238E0"/>
    <w:rsid w:val="603A292C"/>
    <w:rsid w:val="65E41BD1"/>
    <w:rsid w:val="66C325CE"/>
    <w:rsid w:val="678E0595"/>
    <w:rsid w:val="67EDC196"/>
    <w:rsid w:val="6AEFE5C3"/>
    <w:rsid w:val="6D5E98A0"/>
    <w:rsid w:val="6D91782C"/>
    <w:rsid w:val="6E7F9ED3"/>
    <w:rsid w:val="6FE74798"/>
    <w:rsid w:val="6FFF21BA"/>
    <w:rsid w:val="71FF6319"/>
    <w:rsid w:val="72347A3D"/>
    <w:rsid w:val="73AAEF99"/>
    <w:rsid w:val="73B30B08"/>
    <w:rsid w:val="76BFB5A1"/>
    <w:rsid w:val="779D2A8C"/>
    <w:rsid w:val="7B220D7A"/>
    <w:rsid w:val="7BDE7C1C"/>
    <w:rsid w:val="7BE59C7A"/>
    <w:rsid w:val="7BE71A05"/>
    <w:rsid w:val="7C3D09E0"/>
    <w:rsid w:val="7CF043D9"/>
    <w:rsid w:val="7D6DA9A6"/>
    <w:rsid w:val="7DFB6F8B"/>
    <w:rsid w:val="7E97D248"/>
    <w:rsid w:val="7F075DA6"/>
    <w:rsid w:val="7F0F4EA9"/>
    <w:rsid w:val="7FBF6812"/>
    <w:rsid w:val="7FECE290"/>
    <w:rsid w:val="A77FA01C"/>
    <w:rsid w:val="A7CE5950"/>
    <w:rsid w:val="AF9BF623"/>
    <w:rsid w:val="B7FD6AC1"/>
    <w:rsid w:val="BFEE438C"/>
    <w:rsid w:val="CFAE8BFA"/>
    <w:rsid w:val="DBFB0032"/>
    <w:rsid w:val="DC7DCFF7"/>
    <w:rsid w:val="DF7B4689"/>
    <w:rsid w:val="DFFE7BC5"/>
    <w:rsid w:val="EFAB7303"/>
    <w:rsid w:val="EFBBBC3E"/>
    <w:rsid w:val="F39A4A25"/>
    <w:rsid w:val="F6B7D045"/>
    <w:rsid w:val="F6EF482A"/>
    <w:rsid w:val="F7D3CC19"/>
    <w:rsid w:val="F7DFD02B"/>
    <w:rsid w:val="FA3B2766"/>
    <w:rsid w:val="FD7FF60C"/>
    <w:rsid w:val="FE7B14E9"/>
    <w:rsid w:val="FF7F99FA"/>
    <w:rsid w:val="FFD31275"/>
    <w:rsid w:val="FFE7A8EF"/>
    <w:rsid w:val="FFFCF9CF"/>
    <w:rsid w:val="FFFD57E2"/>
    <w:rsid w:val="FFFEC75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sz w:val="24"/>
      <w:szCs w:val="24"/>
      <w:lang w:val="en-US" w:eastAsia="zh-CN" w:bidi="ar-SA"/>
    </w:rPr>
  </w:style>
  <w:style w:type="paragraph" w:styleId="2">
    <w:name w:val="heading 1"/>
    <w:basedOn w:val="1"/>
    <w:next w:val="1"/>
    <w:link w:val="13"/>
    <w:qFormat/>
    <w:uiPriority w:val="0"/>
    <w:pPr>
      <w:ind w:firstLine="961" w:firstLineChars="200"/>
      <w:outlineLvl w:val="0"/>
    </w:pPr>
    <w:rPr>
      <w:rFonts w:ascii="宋体" w:hAnsi="宋体" w:cs="宋体"/>
      <w:b/>
      <w:bCs/>
      <w:kern w:val="36"/>
      <w:sz w:val="48"/>
      <w:szCs w:val="48"/>
    </w:rPr>
  </w:style>
  <w:style w:type="paragraph" w:styleId="3">
    <w:name w:val="heading 2"/>
    <w:basedOn w:val="4"/>
    <w:next w:val="4"/>
    <w:unhideWhenUsed/>
    <w:qFormat/>
    <w:uiPriority w:val="0"/>
    <w:pPr>
      <w:keepNext/>
      <w:keepLines/>
      <w:spacing w:line="360" w:lineRule="auto"/>
      <w:ind w:firstLine="961" w:firstLineChars="200"/>
      <w:outlineLvl w:val="1"/>
    </w:pPr>
    <w:rPr>
      <w:rFonts w:ascii="DejaVu Sans" w:hAnsi="DejaVu Sans"/>
      <w:b/>
      <w:sz w:val="44"/>
    </w:rPr>
  </w:style>
  <w:style w:type="paragraph" w:styleId="6">
    <w:name w:val="heading 3"/>
    <w:basedOn w:val="4"/>
    <w:next w:val="4"/>
    <w:unhideWhenUsed/>
    <w:qFormat/>
    <w:uiPriority w:val="0"/>
    <w:pPr>
      <w:keepNext/>
      <w:keepLines/>
      <w:spacing w:line="360" w:lineRule="auto"/>
      <w:ind w:firstLine="961" w:firstLineChars="200"/>
      <w:outlineLvl w:val="2"/>
    </w:pPr>
    <w:rPr>
      <w:b/>
      <w:sz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First Indent"/>
    <w:basedOn w:val="5"/>
    <w:qFormat/>
    <w:uiPriority w:val="0"/>
    <w:pPr>
      <w:ind w:firstLine="420" w:firstLineChars="100"/>
    </w:pPr>
  </w:style>
  <w:style w:type="paragraph" w:styleId="5">
    <w:name w:val="Body Text"/>
    <w:basedOn w:val="1"/>
    <w:qFormat/>
    <w:uiPriority w:val="0"/>
  </w:style>
  <w:style w:type="paragraph" w:styleId="7">
    <w:name w:val="footer"/>
    <w:basedOn w:val="1"/>
    <w:link w:val="21"/>
    <w:unhideWhenUsed/>
    <w:qFormat/>
    <w:uiPriority w:val="0"/>
    <w:pPr>
      <w:tabs>
        <w:tab w:val="center" w:pos="4680"/>
        <w:tab w:val="right" w:pos="9360"/>
      </w:tabs>
    </w:pPr>
  </w:style>
  <w:style w:type="paragraph" w:styleId="8">
    <w:name w:val="header"/>
    <w:basedOn w:val="1"/>
    <w:link w:val="20"/>
    <w:unhideWhenUsed/>
    <w:qFormat/>
    <w:uiPriority w:val="0"/>
    <w:pPr>
      <w:tabs>
        <w:tab w:val="center" w:pos="4680"/>
        <w:tab w:val="right" w:pos="9360"/>
      </w:tabs>
    </w:pPr>
  </w:style>
  <w:style w:type="paragraph" w:styleId="9">
    <w:name w:val="Normal (Web)"/>
    <w:basedOn w:val="1"/>
    <w:qFormat/>
    <w:uiPriority w:val="0"/>
  </w:style>
  <w:style w:type="table" w:styleId="11">
    <w:name w:val="Table Grid"/>
    <w:basedOn w:val="10"/>
    <w:qFormat/>
    <w:uiPriority w:val="0"/>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标题 1 字符"/>
    <w:basedOn w:val="12"/>
    <w:link w:val="2"/>
    <w:qFormat/>
    <w:uiPriority w:val="9"/>
    <w:rPr>
      <w:rFonts w:ascii="宋体" w:hAnsi="宋体" w:eastAsia="Calibri Light" w:cs="宋体"/>
      <w:b/>
      <w:bCs/>
      <w:kern w:val="36"/>
      <w:sz w:val="48"/>
      <w:szCs w:val="48"/>
    </w:rPr>
  </w:style>
  <w:style w:type="paragraph" w:customStyle="1" w:styleId="14">
    <w:name w:val="标题4"/>
    <w:basedOn w:val="4"/>
    <w:next w:val="4"/>
    <w:qFormat/>
    <w:uiPriority w:val="0"/>
    <w:pPr>
      <w:ind w:firstLine="961" w:firstLineChars="200"/>
    </w:pPr>
    <w:rPr>
      <w:b/>
      <w:sz w:val="30"/>
    </w:rPr>
  </w:style>
  <w:style w:type="paragraph" w:customStyle="1" w:styleId="15">
    <w:name w:val="标题5"/>
    <w:basedOn w:val="4"/>
    <w:next w:val="4"/>
    <w:qFormat/>
    <w:uiPriority w:val="0"/>
    <w:rPr>
      <w:b/>
      <w:sz w:val="28"/>
    </w:rPr>
  </w:style>
  <w:style w:type="paragraph" w:customStyle="1" w:styleId="16">
    <w:name w:val="文章正文"/>
    <w:basedOn w:val="1"/>
    <w:qFormat/>
    <w:uiPriority w:val="0"/>
    <w:pPr>
      <w:spacing w:line="360" w:lineRule="auto"/>
    </w:pPr>
  </w:style>
  <w:style w:type="paragraph" w:customStyle="1" w:styleId="17">
    <w:name w:val="p1"/>
    <w:basedOn w:val="1"/>
    <w:qFormat/>
    <w:uiPriority w:val="0"/>
    <w:pPr>
      <w:spacing w:line="380" w:lineRule="atLeast"/>
    </w:pPr>
    <w:rPr>
      <w:rFonts w:ascii="Helvetica Neue" w:hAnsi="Helvetica Neue" w:eastAsia="Helvetica Neue" w:cs="Times New Roman"/>
      <w:sz w:val="26"/>
      <w:szCs w:val="26"/>
    </w:rPr>
  </w:style>
  <w:style w:type="character" w:customStyle="1" w:styleId="18">
    <w:name w:val="s1"/>
    <w:basedOn w:val="12"/>
    <w:qFormat/>
    <w:uiPriority w:val="0"/>
    <w:rPr>
      <w:rFonts w:ascii=".pingfang sc" w:hAnsi=".pingfang sc" w:eastAsia=".pingfang sc" w:cs=".pingfang sc"/>
      <w:sz w:val="24"/>
      <w:szCs w:val="24"/>
    </w:rPr>
  </w:style>
  <w:style w:type="paragraph" w:customStyle="1" w:styleId="19">
    <w:name w:val="p2"/>
    <w:basedOn w:val="1"/>
    <w:qFormat/>
    <w:uiPriority w:val="0"/>
    <w:rPr>
      <w:rFonts w:ascii="Helvetica Neue" w:hAnsi="Helvetica Neue" w:eastAsia="Helvetica Neue" w:cs="Times New Roman"/>
      <w:color w:val="444444"/>
    </w:rPr>
  </w:style>
  <w:style w:type="character" w:customStyle="1" w:styleId="20">
    <w:name w:val="页眉 字符"/>
    <w:basedOn w:val="12"/>
    <w:link w:val="8"/>
    <w:qFormat/>
    <w:uiPriority w:val="0"/>
    <w:rPr>
      <w:rFonts w:asciiTheme="minorHAnsi" w:hAnsiTheme="minorHAnsi" w:eastAsiaTheme="minorEastAsia" w:cstheme="minorBidi"/>
      <w:sz w:val="24"/>
      <w:szCs w:val="24"/>
    </w:rPr>
  </w:style>
  <w:style w:type="character" w:customStyle="1" w:styleId="21">
    <w:name w:val="页脚 字符"/>
    <w:basedOn w:val="12"/>
    <w:link w:val="7"/>
    <w:qFormat/>
    <w:uiPriority w:val="0"/>
    <w:rPr>
      <w:rFonts w:asciiTheme="minorHAnsi" w:hAnsiTheme="minorHAnsi" w:eastAsiaTheme="minorEastAsia" w:cstheme="minorBidi"/>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970</Words>
  <Characters>2362</Characters>
  <Lines>135</Lines>
  <Paragraphs>90</Paragraphs>
  <TotalTime>3</TotalTime>
  <ScaleCrop>false</ScaleCrop>
  <LinksUpToDate>false</LinksUpToDate>
  <CharactersWithSpaces>2591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2024-08-02T09:46:00Z</dcterms:created>
  <dc:creator>zoe</dc:creator>
  <cp:lastModifiedBy>WPS_1661391034</cp:lastModifiedBy>
  <dcterms:modified xsi:type="dcterms:W3CDTF">2026-08-31T00:54:02Z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88B54FDBF9A54C42B20E07060E438295_13</vt:lpwstr>
  </property>
  <property fmtid="{D5CDD505-2E9C-101B-9397-08002B2CF9AE}" pid="4" name="KSOTemplateDocerSaveRecord">
    <vt:lpwstr>eyJoZGlkIjoiYmJhNDU3ZjFiZGUwN2QyNWFiODVjNWYyOTdhMzgwNTciLCJ1c2VySWQiOiIxMzk4NzYwOTEwIn0=</vt:lpwstr>
  </property>
</Properties>
</file>