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F3698">
      <w:pPr>
        <w:rPr>
          <w:rFonts w:hint="eastAsia"/>
          <w:b/>
          <w:bCs/>
        </w:rPr>
      </w:pPr>
      <w:r>
        <w:rPr>
          <w:rFonts w:hint="eastAsia"/>
          <w:b/>
          <w:bCs/>
        </w:rPr>
        <w:t>重点引智课程推荐 | 英国伦敦国王学院《知识产权国际商业化》</w:t>
      </w:r>
    </w:p>
    <w:p w14:paraId="7D8D83F0">
      <w:pPr>
        <w:rPr>
          <w:rFonts w:hint="eastAsia"/>
          <w:b/>
          <w:bCs/>
        </w:rPr>
      </w:pPr>
    </w:p>
    <w:p w14:paraId="104E4AD3">
      <w:pPr>
        <w:shd w:val="clear" w:color="auto" w:fill="FFFFFF"/>
        <w:spacing w:after="100" w:afterAutospacing="1"/>
        <w:jc w:val="both"/>
        <w:rPr>
          <w:rFonts w:hint="eastAsia" w:ascii="Times New Roman" w:hAnsi="Times New Roman" w:eastAsia="宋体" w:cs="Times New Roman"/>
        </w:rPr>
      </w:pPr>
      <w:r>
        <w:rPr>
          <w:rFonts w:hint="eastAsia" w:ascii="Times New Roman" w:hAnsi="Times New Roman" w:eastAsia="宋体" w:cs="Times New Roman"/>
        </w:rPr>
        <w:t>2026年华东政法大学重点引智项目课程：英国伦敦国王学院《知识产权国际商业化》（International Commercialisation of IP Rights  ）（课程代码：</w:t>
      </w:r>
      <w:r>
        <w:rPr>
          <w:rFonts w:hint="eastAsia" w:ascii="Times New Roman" w:hAnsi="Times New Roman" w:eastAsia="宋体" w:cs="Times New Roman"/>
          <w:lang w:val="en-US" w:eastAsia="zh-CN"/>
        </w:rPr>
        <w:t>待定</w:t>
      </w:r>
      <w:r>
        <w:rPr>
          <w:rFonts w:hint="eastAsia" w:ascii="Times New Roman" w:hAnsi="Times New Roman" w:eastAsia="宋体" w:cs="Times New Roman"/>
        </w:rPr>
        <w:t>）</w:t>
      </w:r>
    </w:p>
    <w:p w14:paraId="4E3B2159">
      <w:pPr>
        <w:keepNext w:val="0"/>
        <w:keepLines w:val="0"/>
        <w:widowControl/>
        <w:suppressLineNumbers w:val="0"/>
        <w:jc w:val="left"/>
      </w:pPr>
      <w:r>
        <w:rPr>
          <w:rFonts w:ascii="宋体" w:hAnsi="宋体" w:eastAsia="宋体" w:cs="宋体"/>
          <w:kern w:val="0"/>
          <w:sz w:val="24"/>
          <w:szCs w:val="24"/>
          <w:lang w:val="en-US" w:eastAsia="zh-CN" w:bidi="ar"/>
          <w14:ligatures w14:val="standardContextual"/>
        </w:rPr>
        <w:drawing>
          <wp:inline distT="0" distB="0" distL="114300" distR="114300">
            <wp:extent cx="1905000" cy="19050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1905000" cy="1905000"/>
                    </a:xfrm>
                    <a:prstGeom prst="rect">
                      <a:avLst/>
                    </a:prstGeom>
                    <a:noFill/>
                    <a:ln w="9525">
                      <a:noFill/>
                    </a:ln>
                  </pic:spPr>
                </pic:pic>
              </a:graphicData>
            </a:graphic>
          </wp:inline>
        </w:drawing>
      </w:r>
    </w:p>
    <w:p w14:paraId="6032137C">
      <w:pPr>
        <w:rPr>
          <w:rFonts w:hint="eastAsia"/>
        </w:rPr>
      </w:pPr>
    </w:p>
    <w:p w14:paraId="7C225EB9">
      <w:pPr>
        <w:rPr>
          <w:rFonts w:hint="eastAsia"/>
          <w:b/>
          <w:bCs/>
        </w:rPr>
      </w:pPr>
      <w:r>
        <w:rPr>
          <w:b/>
          <w:bCs/>
        </w:rPr>
        <w:t>主讲人简介</w:t>
      </w:r>
    </w:p>
    <w:p w14:paraId="7B15ACCF">
      <w:pPr>
        <w:shd w:val="clear" w:color="auto" w:fill="FFFFFF"/>
        <w:spacing w:after="100" w:afterAutospacing="1"/>
        <w:ind w:firstLine="480" w:firstLineChars="200"/>
        <w:jc w:val="both"/>
        <w:rPr>
          <w:rFonts w:ascii="Times New Roman" w:hAnsi="Times New Roman" w:eastAsia="宋体" w:cs="Times New Roman"/>
          <w:color w:val="24292F"/>
        </w:rPr>
      </w:pPr>
      <w:r>
        <w:rPr>
          <w:rFonts w:hint="eastAsia" w:ascii="Times New Roman" w:hAnsi="Times New Roman" w:eastAsia="宋体" w:cs="Times New Roman"/>
        </w:rPr>
        <w:t>Gordon Ionwy David Llewelyn（戴维·卢埃林）教授，主要研究商法、知识产权法、信息技术法等问题。现任英国伦敦国王学院知识产权法教授（2006年至今）、新加坡管理大学法学院荣誉退休实务法学教授；曾任新加坡管理大学法学院副院长（2012—2019）、伟凯律师事务所伦敦办公室合伙人兼欧洲知识产权与信息技术法律业务负责人（1999—2010）。主要著作及合著包括《亚洲无形财富：以知识产权创造价值》（2010）、《知识产权：专利、版权、商标及相关权利》（2023）和《凯利商标与商号法》（2024）。现为英国国际与比较法研究所荣誉高级研究员、新加坡知识产权局知识产权审裁员及新加坡国际仲裁中心等机构在册仲裁员；曾多次受新加坡上诉法院委任，在重大知识产权案件中担任法律顾问，发表多篇相关领域文章。</w:t>
      </w:r>
    </w:p>
    <w:p w14:paraId="7E046233">
      <w:pPr>
        <w:rPr>
          <w:rFonts w:hint="eastAsia"/>
        </w:rPr>
      </w:pPr>
    </w:p>
    <w:p w14:paraId="093838F7">
      <w:pPr>
        <w:rPr>
          <w:rFonts w:hint="eastAsia"/>
          <w:b/>
          <w:bCs/>
        </w:rPr>
      </w:pPr>
      <w:r>
        <w:rPr>
          <w:b/>
          <w:bCs/>
        </w:rPr>
        <w:t>Profile</w:t>
      </w:r>
    </w:p>
    <w:p w14:paraId="62AAC2DB">
      <w:pPr>
        <w:jc w:val="both"/>
        <w:rPr>
          <w:rFonts w:ascii="Times New Roman" w:hAnsi="Times New Roman" w:cs="Times New Roman"/>
        </w:rPr>
      </w:pPr>
      <w:r>
        <w:rPr>
          <w:rFonts w:hint="eastAsia" w:ascii="Times New Roman" w:hAnsi="Times New Roman" w:cs="Times New Roman"/>
        </w:rPr>
        <w:t>Professor Gordon Ionwy David Llewelyn specialises in commercial law, intellectual property law (including technology transfer, licensing, joint ventures and dispute resolution), and information technology law. Since 2006 he has been Professor of Intellectual Property Law at King’s College London and is Professor Emeritus of Law (Practice) at Singapore Management University. He was Deputy Dean of SMU’s School of Law (2012–2019) and partner and Head of Intellectual Property and IT Law (Europe) at White &amp; Case in London (1999–2010). His principal works include Invisible Gold in Asia: Creating Wealth through Intellectual Property (2010), Intellectual Property: Patents, Copyright, Trade Marks and Allied Rights (10th ed., 2023), and Kerly’s Law of Trade Marks and Trade Names (17th ed., 2024). He is an Honorary Senior Fellow at the British Institute of International and Comparative Law, an IP Adjudicator at the Intellectual Property Office of Singapore, and an arbitrator on the SIAC and other panels. The Singapore Court of Appeal has repeatedly appointed him as counsel in major IP cases, and he has published widely.</w:t>
      </w:r>
    </w:p>
    <w:p w14:paraId="1BC9BDE8">
      <w:pPr>
        <w:jc w:val="both"/>
        <w:rPr>
          <w:rFonts w:ascii="Times New Roman" w:hAnsi="Times New Roman" w:eastAsia="宋体" w:cs="Times New Roman"/>
        </w:rPr>
      </w:pPr>
    </w:p>
    <w:p w14:paraId="4C02416C">
      <w:pPr>
        <w:rPr>
          <w:rFonts w:ascii="Times New Roman" w:hAnsi="Times New Roman" w:eastAsia="宋体" w:cs="Times New Roman"/>
        </w:rPr>
      </w:pPr>
      <w:r>
        <w:rPr>
          <w:rFonts w:ascii="Times New Roman" w:hAnsi="Times New Roman" w:eastAsia="宋体" w:cs="Times New Roman"/>
        </w:rPr>
        <w:t>课程与选课信息</w:t>
      </w:r>
    </w:p>
    <w:p w14:paraId="0D949B5D">
      <w:pPr>
        <w:rPr>
          <w:rFonts w:ascii="Times New Roman" w:hAnsi="Times New Roman" w:eastAsia="宋体" w:cs="Times New Roman"/>
        </w:rPr>
      </w:pPr>
      <w:r>
        <w:rPr>
          <w:rFonts w:ascii="Times New Roman" w:hAnsi="Times New Roman" w:eastAsia="宋体" w:cs="Times New Roman"/>
        </w:rPr>
        <w:t>课程时间：</w:t>
      </w:r>
      <w:r>
        <w:rPr>
          <w:rFonts w:hint="eastAsia" w:ascii="Times New Roman" w:hAnsi="Times New Roman" w:eastAsia="宋体" w:cs="Times New Roman"/>
        </w:rPr>
        <w:t>2026年10月12日至10月23日（具体每日时段以最终通知为准）</w:t>
      </w:r>
    </w:p>
    <w:p w14:paraId="1918EB12">
      <w:pPr>
        <w:rPr>
          <w:rFonts w:ascii="Times New Roman" w:hAnsi="Times New Roman" w:eastAsia="宋体" w:cs="Times New Roman"/>
        </w:rPr>
      </w:pPr>
      <w:r>
        <w:rPr>
          <w:rFonts w:ascii="Times New Roman" w:hAnsi="Times New Roman" w:eastAsia="宋体" w:cs="Times New Roman"/>
        </w:rPr>
        <w:t>课程语言：英语</w:t>
      </w:r>
    </w:p>
    <w:p w14:paraId="6BFED26D">
      <w:pPr>
        <w:rPr>
          <w:rFonts w:ascii="Times New Roman" w:hAnsi="Times New Roman" w:eastAsia="宋体" w:cs="Times New Roman"/>
        </w:rPr>
      </w:pPr>
      <w:r>
        <w:rPr>
          <w:rFonts w:ascii="Times New Roman" w:hAnsi="Times New Roman" w:eastAsia="宋体" w:cs="Times New Roman"/>
        </w:rPr>
        <w:t xml:space="preserve">课程形式：松江校区集中线下授课 </w:t>
      </w:r>
    </w:p>
    <w:p w14:paraId="29DB84FA">
      <w:pPr>
        <w:rPr>
          <w:rFonts w:ascii="Times New Roman" w:hAnsi="Times New Roman" w:eastAsia="宋体" w:cs="Times New Roman"/>
        </w:rPr>
      </w:pPr>
      <w:bookmarkStart w:id="0" w:name="OLE_LINK1"/>
      <w:r>
        <w:rPr>
          <w:rFonts w:ascii="Times New Roman" w:hAnsi="Times New Roman" w:eastAsia="宋体" w:cs="Times New Roman"/>
        </w:rPr>
        <w:t>选课时间：2026年</w:t>
      </w:r>
      <w:r>
        <w:rPr>
          <w:rFonts w:hint="eastAsia" w:ascii="Times New Roman" w:hAnsi="Times New Roman" w:eastAsia="宋体" w:cs="Times New Roman"/>
          <w:lang w:val="en-US" w:eastAsia="zh-CN"/>
        </w:rPr>
        <w:t>9</w:t>
      </w:r>
      <w:r>
        <w:rPr>
          <w:rFonts w:ascii="Times New Roman" w:hAnsi="Times New Roman" w:eastAsia="宋体" w:cs="Times New Roman"/>
        </w:rPr>
        <w:t>月</w:t>
      </w:r>
      <w:r>
        <w:rPr>
          <w:rFonts w:hint="eastAsia" w:ascii="Times New Roman" w:hAnsi="Times New Roman" w:eastAsia="宋体" w:cs="Times New Roman"/>
        </w:rPr>
        <w:t>初</w:t>
      </w:r>
    </w:p>
    <w:p w14:paraId="65893B84">
      <w:pPr>
        <w:rPr>
          <w:rFonts w:ascii="Times New Roman" w:hAnsi="Times New Roman" w:eastAsia="宋体" w:cs="Times New Roman"/>
        </w:rPr>
      </w:pPr>
      <w:r>
        <w:rPr>
          <w:rFonts w:ascii="Times New Roman" w:hAnsi="Times New Roman" w:eastAsia="宋体" w:cs="Times New Roman"/>
        </w:rPr>
        <w:t>选课对象：</w:t>
      </w:r>
      <w:r>
        <w:rPr>
          <w:rFonts w:hint="eastAsia" w:ascii="Times New Roman" w:hAnsi="Times New Roman" w:eastAsia="宋体" w:cs="Times New Roman"/>
          <w:lang w:val="en-US" w:eastAsia="zh-CN"/>
        </w:rPr>
        <w:t>学术型</w:t>
      </w:r>
      <w:r>
        <w:rPr>
          <w:rFonts w:ascii="Times New Roman" w:hAnsi="Times New Roman" w:eastAsia="宋体" w:cs="Times New Roman"/>
        </w:rPr>
        <w:t>硕士研究生</w:t>
      </w:r>
    </w:p>
    <w:p w14:paraId="4D0EC3F8"/>
    <w:p w14:paraId="5FD4C3E7">
      <w:pPr>
        <w:rPr>
          <w:rFonts w:hint="eastAsia"/>
        </w:rPr>
      </w:pPr>
      <w:r>
        <w:t>课程内容</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6330"/>
        <w:gridCol w:w="2047"/>
      </w:tblGrid>
      <w:tr w14:paraId="4DED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973" w:type="dxa"/>
          </w:tcPr>
          <w:p w14:paraId="006C622B">
            <w:pPr>
              <w:spacing w:before="120" w:after="120" w:line="240" w:lineRule="auto"/>
              <w:jc w:val="center"/>
              <w:rPr>
                <w:rFonts w:hint="eastAsia"/>
              </w:rPr>
            </w:pPr>
            <w:r>
              <w:rPr>
                <w:rFonts w:hint="eastAsia"/>
                <w:b/>
                <w:bCs/>
              </w:rPr>
              <w:t>讲座</w:t>
            </w:r>
          </w:p>
        </w:tc>
        <w:tc>
          <w:tcPr>
            <w:tcW w:w="6330" w:type="dxa"/>
          </w:tcPr>
          <w:p w14:paraId="58FEB8A7">
            <w:pPr>
              <w:spacing w:before="120" w:after="120" w:line="240" w:lineRule="auto"/>
              <w:jc w:val="center"/>
              <w:rPr>
                <w:rFonts w:hint="eastAsia"/>
                <w:color w:val="FF0000"/>
              </w:rPr>
            </w:pPr>
            <w:r>
              <w:rPr>
                <w:rFonts w:hint="eastAsia"/>
                <w:b/>
                <w:bCs/>
                <w:color w:val="000000" w:themeColor="text1"/>
                <w14:textFill>
                  <w14:solidFill>
                    <w14:schemeClr w14:val="tx1"/>
                  </w14:solidFill>
                </w14:textFill>
              </w:rPr>
              <w:t>内容 content</w:t>
            </w:r>
          </w:p>
        </w:tc>
        <w:tc>
          <w:tcPr>
            <w:tcW w:w="2047" w:type="dxa"/>
          </w:tcPr>
          <w:p w14:paraId="3EFEBEE1">
            <w:pPr>
              <w:spacing w:before="120" w:after="120" w:line="240" w:lineRule="auto"/>
              <w:rPr>
                <w:rFonts w:hint="eastAsia"/>
                <w:color w:val="FF0000"/>
              </w:rPr>
            </w:pPr>
            <w:r>
              <w:rPr>
                <w:rFonts w:hint="eastAsia"/>
                <w:b/>
                <w:bCs/>
                <w:color w:val="000000" w:themeColor="text1"/>
                <w14:textFill>
                  <w14:solidFill>
                    <w14:schemeClr w14:val="tx1"/>
                  </w14:solidFill>
                </w14:textFill>
              </w:rPr>
              <w:t>上课地点</w:t>
            </w:r>
          </w:p>
        </w:tc>
      </w:tr>
      <w:tr w14:paraId="2E6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973" w:type="dxa"/>
          </w:tcPr>
          <w:p w14:paraId="2C2259DD">
            <w:pPr>
              <w:spacing w:before="120" w:after="120" w:line="240" w:lineRule="auto"/>
              <w:jc w:val="center"/>
              <w:rPr>
                <w:rFonts w:ascii="Times New Roman" w:hAnsi="Times New Roman" w:eastAsia="宋体" w:cs="Times New Roman"/>
              </w:rPr>
            </w:pPr>
            <w:r>
              <w:rPr>
                <w:rFonts w:ascii="Times New Roman" w:hAnsi="Times New Roman" w:eastAsia="宋体" w:cs="Times New Roman"/>
              </w:rPr>
              <w:t>Lecture 1</w:t>
            </w:r>
          </w:p>
        </w:tc>
        <w:tc>
          <w:tcPr>
            <w:tcW w:w="6330" w:type="dxa"/>
            <w:vAlign w:val="center"/>
          </w:tcPr>
          <w:p w14:paraId="451D0381">
            <w:pPr>
              <w:jc w:val="center"/>
              <w:rPr>
                <w:rFonts w:ascii="Times New Roman" w:hAnsi="Times New Roman" w:eastAsia="宋体" w:cs="Times New Roman"/>
                <w:lang w:eastAsia="en-US"/>
              </w:rPr>
            </w:pPr>
            <w:r>
              <w:rPr>
                <w:rFonts w:ascii="Times New Roman" w:hAnsi="Times New Roman" w:eastAsia="宋体" w:cs="Times New Roman"/>
                <w:lang w:eastAsia="en-US"/>
              </w:rPr>
              <w:t>国际知识产权商业化导论</w:t>
            </w:r>
          </w:p>
          <w:p w14:paraId="69AD3209">
            <w:pPr>
              <w:jc w:val="center"/>
              <w:rPr>
                <w:rFonts w:ascii="Times New Roman" w:hAnsi="Times New Roman" w:eastAsia="宋体" w:cs="Times New Roman"/>
              </w:rPr>
            </w:pPr>
            <w:r>
              <w:rPr>
                <w:rFonts w:ascii="Times New Roman" w:hAnsi="Times New Roman" w:cs="Times New Roman"/>
                <w:lang w:eastAsia="en-US"/>
              </w:rPr>
              <w:t>Introduction to International IP Commercialisation</w:t>
            </w:r>
          </w:p>
        </w:tc>
        <w:tc>
          <w:tcPr>
            <w:tcW w:w="2047" w:type="dxa"/>
          </w:tcPr>
          <w:p w14:paraId="5F2876C1">
            <w:pPr>
              <w:spacing w:before="120" w:after="120" w:line="240" w:lineRule="auto"/>
              <w:jc w:val="center"/>
              <w:rPr>
                <w:rFonts w:hint="eastAsia" w:ascii="Times New Roman" w:hAnsi="Times New Roman" w:eastAsia="宋体" w:cs="Times New Roman"/>
                <w:color w:val="FF0000"/>
                <w:lang w:eastAsia="zh-CN"/>
              </w:rPr>
            </w:pPr>
            <w:r>
              <w:rPr>
                <w:rFonts w:hint="eastAsia" w:ascii="Times New Roman" w:hAnsi="Times New Roman" w:eastAsia="宋体" w:cs="Times New Roman"/>
                <w:color w:val="auto"/>
                <w:highlight w:val="none"/>
                <w:lang w:val="en-US" w:eastAsia="zh-CN"/>
              </w:rPr>
              <w:t>明法楼</w:t>
            </w:r>
            <w:r>
              <w:rPr>
                <w:rFonts w:hint="eastAsia" w:ascii="Times New Roman" w:hAnsi="Times New Roman" w:eastAsia="宋体" w:cs="Times New Roman"/>
                <w:color w:val="auto"/>
                <w:highlight w:val="none"/>
                <w:lang w:eastAsia="zh-CN"/>
              </w:rPr>
              <w:t>西楼B301</w:t>
            </w:r>
          </w:p>
        </w:tc>
      </w:tr>
      <w:tr w14:paraId="701A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4E53243B">
            <w:pPr>
              <w:spacing w:before="120" w:after="120" w:line="240" w:lineRule="auto"/>
              <w:jc w:val="center"/>
              <w:rPr>
                <w:rFonts w:ascii="Times New Roman" w:hAnsi="Times New Roman" w:eastAsia="宋体" w:cs="Times New Roman"/>
              </w:rPr>
            </w:pPr>
            <w:r>
              <w:rPr>
                <w:rFonts w:ascii="Times New Roman" w:hAnsi="Times New Roman" w:eastAsia="宋体" w:cs="Times New Roman"/>
              </w:rPr>
              <w:t>Lecture 2</w:t>
            </w:r>
          </w:p>
        </w:tc>
        <w:tc>
          <w:tcPr>
            <w:tcW w:w="6330" w:type="dxa"/>
            <w:vAlign w:val="center"/>
          </w:tcPr>
          <w:p w14:paraId="006634C3">
            <w:pPr>
              <w:jc w:val="center"/>
              <w:rPr>
                <w:rFonts w:ascii="Times New Roman" w:hAnsi="Times New Roman" w:eastAsia="宋体" w:cs="Times New Roman"/>
                <w:lang w:eastAsia="en-US"/>
              </w:rPr>
            </w:pPr>
            <w:r>
              <w:rPr>
                <w:rFonts w:ascii="Times New Roman" w:hAnsi="Times New Roman" w:eastAsia="宋体" w:cs="Times New Roman"/>
                <w:lang w:eastAsia="en-US"/>
              </w:rPr>
              <w:t>全球知识产权体系与商业化战略</w:t>
            </w:r>
          </w:p>
          <w:p w14:paraId="173799B3">
            <w:pPr>
              <w:jc w:val="center"/>
              <w:rPr>
                <w:rFonts w:ascii="Times New Roman" w:hAnsi="Times New Roman" w:eastAsia="宋体" w:cs="Times New Roman"/>
              </w:rPr>
            </w:pPr>
            <w:r>
              <w:rPr>
                <w:rFonts w:ascii="Times New Roman" w:hAnsi="Times New Roman" w:cs="Times New Roman"/>
                <w:lang w:eastAsia="en-US"/>
              </w:rPr>
              <w:t>Global IP Systems and Commercialisation Strategy</w:t>
            </w:r>
          </w:p>
        </w:tc>
        <w:tc>
          <w:tcPr>
            <w:tcW w:w="2047" w:type="dxa"/>
          </w:tcPr>
          <w:p w14:paraId="69DA206A">
            <w:pPr>
              <w:spacing w:before="120" w:after="120" w:line="240" w:lineRule="auto"/>
              <w:jc w:val="center"/>
              <w:rPr>
                <w:rFonts w:ascii="Times New Roman" w:hAnsi="Times New Roman" w:eastAsia="宋体" w:cs="Times New Roman"/>
              </w:rPr>
            </w:pPr>
            <w:r>
              <w:rPr>
                <w:rFonts w:hint="eastAsia" w:ascii="Times New Roman" w:hAnsi="Times New Roman" w:eastAsia="宋体" w:cs="Times New Roman"/>
                <w:color w:val="auto"/>
                <w:highlight w:val="none"/>
                <w:lang w:val="en-US" w:eastAsia="zh-CN"/>
              </w:rPr>
              <w:t>明法楼</w:t>
            </w:r>
            <w:r>
              <w:rPr>
                <w:rFonts w:hint="eastAsia" w:ascii="Times New Roman" w:hAnsi="Times New Roman" w:eastAsia="宋体" w:cs="Times New Roman"/>
                <w:lang w:val="en-US" w:eastAsia="zh-CN"/>
              </w:rPr>
              <w:t>西楼B304</w:t>
            </w:r>
          </w:p>
        </w:tc>
      </w:tr>
      <w:tr w14:paraId="2068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422F87A5">
            <w:pPr>
              <w:spacing w:before="120" w:after="120" w:line="240" w:lineRule="auto"/>
              <w:jc w:val="center"/>
              <w:rPr>
                <w:rFonts w:ascii="Times New Roman" w:hAnsi="Times New Roman" w:eastAsia="宋体" w:cs="Times New Roman"/>
              </w:rPr>
            </w:pPr>
            <w:r>
              <w:rPr>
                <w:rFonts w:ascii="Times New Roman" w:hAnsi="Times New Roman" w:eastAsia="宋体" w:cs="Times New Roman"/>
              </w:rPr>
              <w:t>Lecture 3</w:t>
            </w:r>
          </w:p>
        </w:tc>
        <w:tc>
          <w:tcPr>
            <w:tcW w:w="6330" w:type="dxa"/>
            <w:vAlign w:val="center"/>
          </w:tcPr>
          <w:p w14:paraId="391866EB">
            <w:pPr>
              <w:jc w:val="center"/>
              <w:rPr>
                <w:rFonts w:ascii="Times New Roman" w:hAnsi="Times New Roman" w:cs="Times New Roman"/>
                <w:lang w:eastAsia="en-US"/>
              </w:rPr>
            </w:pPr>
            <w:r>
              <w:rPr>
                <w:rFonts w:ascii="Times New Roman" w:hAnsi="Times New Roman" w:eastAsia="宋体" w:cs="Times New Roman"/>
                <w:lang w:eastAsia="en-US"/>
              </w:rPr>
              <w:t>知识产权转让与出售</w:t>
            </w:r>
          </w:p>
          <w:p w14:paraId="5DB97CDD">
            <w:pPr>
              <w:jc w:val="center"/>
              <w:rPr>
                <w:rFonts w:ascii="Times New Roman" w:hAnsi="Times New Roman" w:eastAsia="宋体" w:cs="Times New Roman"/>
              </w:rPr>
            </w:pPr>
            <w:r>
              <w:rPr>
                <w:rFonts w:ascii="Times New Roman" w:hAnsi="Times New Roman" w:eastAsia="宋体" w:cs="Times New Roman"/>
                <w:lang w:eastAsia="en-US"/>
              </w:rPr>
              <w:t>Assignment and Sale of IP Rights</w:t>
            </w:r>
          </w:p>
        </w:tc>
        <w:tc>
          <w:tcPr>
            <w:tcW w:w="2047" w:type="dxa"/>
          </w:tcPr>
          <w:p w14:paraId="5373E6C2">
            <w:pPr>
              <w:spacing w:before="120" w:after="120" w:line="240" w:lineRule="auto"/>
              <w:jc w:val="center"/>
              <w:rPr>
                <w:rFonts w:ascii="Times New Roman" w:hAnsi="Times New Roman" w:eastAsia="宋体" w:cs="Times New Roman"/>
              </w:rPr>
            </w:pPr>
            <w:r>
              <w:rPr>
                <w:rFonts w:hint="eastAsia" w:ascii="Times New Roman" w:hAnsi="Times New Roman" w:eastAsia="宋体" w:cs="Times New Roman"/>
                <w:color w:val="auto"/>
                <w:highlight w:val="none"/>
                <w:lang w:val="en-US" w:eastAsia="zh-CN"/>
              </w:rPr>
              <w:t>明法楼</w:t>
            </w:r>
            <w:r>
              <w:rPr>
                <w:rFonts w:hint="eastAsia" w:ascii="Times New Roman" w:hAnsi="Times New Roman" w:eastAsia="宋体" w:cs="Times New Roman"/>
                <w:lang w:val="en-US" w:eastAsia="zh-CN"/>
              </w:rPr>
              <w:t>西楼B301</w:t>
            </w:r>
          </w:p>
        </w:tc>
      </w:tr>
      <w:tr w14:paraId="2E07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6362C482">
            <w:pPr>
              <w:spacing w:before="120" w:after="120" w:line="240" w:lineRule="auto"/>
              <w:jc w:val="center"/>
              <w:rPr>
                <w:rFonts w:ascii="Times New Roman" w:hAnsi="Times New Roman" w:eastAsia="宋体" w:cs="Times New Roman"/>
              </w:rPr>
            </w:pPr>
            <w:r>
              <w:rPr>
                <w:rFonts w:ascii="Times New Roman" w:hAnsi="Times New Roman" w:eastAsia="宋体" w:cs="Times New Roman"/>
              </w:rPr>
              <w:t>Lecture 4</w:t>
            </w:r>
          </w:p>
        </w:tc>
        <w:tc>
          <w:tcPr>
            <w:tcW w:w="6330" w:type="dxa"/>
            <w:vAlign w:val="center"/>
          </w:tcPr>
          <w:p w14:paraId="1CB50B92">
            <w:pPr>
              <w:jc w:val="center"/>
              <w:rPr>
                <w:rFonts w:ascii="Times New Roman" w:hAnsi="Times New Roman" w:cs="Times New Roman"/>
                <w:lang w:eastAsia="en-US"/>
              </w:rPr>
            </w:pPr>
            <w:r>
              <w:rPr>
                <w:rFonts w:ascii="Times New Roman" w:hAnsi="Times New Roman" w:eastAsia="宋体" w:cs="Times New Roman"/>
                <w:lang w:eastAsia="en-US"/>
              </w:rPr>
              <w:t>知识产权许可：结构与核心条款</w:t>
            </w:r>
          </w:p>
          <w:p w14:paraId="37027B89">
            <w:pPr>
              <w:jc w:val="center"/>
              <w:rPr>
                <w:rFonts w:ascii="Times New Roman" w:hAnsi="Times New Roman" w:eastAsia="宋体" w:cs="Times New Roman"/>
              </w:rPr>
            </w:pPr>
            <w:r>
              <w:rPr>
                <w:rFonts w:hint="eastAsia" w:ascii="Times New Roman" w:hAnsi="Times New Roman" w:eastAsia="宋体" w:cs="Times New Roman"/>
                <w:lang w:eastAsia="en-US"/>
              </w:rPr>
              <w:t>Structures and Key Terms of IP Licensing</w:t>
            </w:r>
          </w:p>
        </w:tc>
        <w:tc>
          <w:tcPr>
            <w:tcW w:w="2047" w:type="dxa"/>
          </w:tcPr>
          <w:p w14:paraId="76802B3C">
            <w:pPr>
              <w:spacing w:before="120" w:after="120" w:line="240" w:lineRule="auto"/>
              <w:jc w:val="center"/>
              <w:rPr>
                <w:rFonts w:ascii="Times New Roman" w:hAnsi="Times New Roman" w:eastAsia="宋体" w:cs="Times New Roman"/>
              </w:rPr>
            </w:pPr>
            <w:r>
              <w:rPr>
                <w:rFonts w:hint="eastAsia" w:ascii="Times New Roman" w:hAnsi="Times New Roman" w:eastAsia="宋体" w:cs="Times New Roman"/>
                <w:color w:val="auto"/>
                <w:highlight w:val="none"/>
                <w:lang w:val="en-US" w:eastAsia="zh-CN"/>
              </w:rPr>
              <w:t>明法楼</w:t>
            </w:r>
            <w:r>
              <w:rPr>
                <w:rFonts w:hint="eastAsia" w:ascii="Times New Roman" w:hAnsi="Times New Roman" w:eastAsia="宋体" w:cs="Times New Roman"/>
                <w:lang w:val="en-US" w:eastAsia="zh-CN"/>
              </w:rPr>
              <w:t>西楼B304</w:t>
            </w:r>
          </w:p>
        </w:tc>
      </w:tr>
      <w:tr w14:paraId="36B1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73F3E832">
            <w:pPr>
              <w:spacing w:before="120" w:after="120" w:line="240" w:lineRule="auto"/>
              <w:jc w:val="center"/>
              <w:rPr>
                <w:rFonts w:ascii="Times New Roman" w:hAnsi="Times New Roman" w:eastAsia="宋体" w:cs="Times New Roman"/>
              </w:rPr>
            </w:pPr>
            <w:r>
              <w:rPr>
                <w:rFonts w:ascii="Times New Roman" w:hAnsi="Times New Roman" w:eastAsia="宋体" w:cs="Times New Roman"/>
              </w:rPr>
              <w:t>Lecture 5</w:t>
            </w:r>
          </w:p>
        </w:tc>
        <w:tc>
          <w:tcPr>
            <w:tcW w:w="6330" w:type="dxa"/>
            <w:vAlign w:val="center"/>
          </w:tcPr>
          <w:p w14:paraId="3D51CA23">
            <w:pPr>
              <w:jc w:val="center"/>
              <w:rPr>
                <w:rFonts w:ascii="Times New Roman" w:hAnsi="Times New Roman" w:eastAsia="宋体" w:cs="Times New Roman"/>
                <w:lang w:eastAsia="en-US"/>
              </w:rPr>
            </w:pPr>
            <w:r>
              <w:rPr>
                <w:rFonts w:ascii="Times New Roman" w:hAnsi="Times New Roman" w:eastAsia="宋体" w:cs="Times New Roman"/>
                <w:lang w:eastAsia="en-US"/>
              </w:rPr>
              <w:t>跨境知识产权许可与交易风险</w:t>
            </w:r>
          </w:p>
          <w:p w14:paraId="41237D81">
            <w:pPr>
              <w:jc w:val="center"/>
              <w:rPr>
                <w:rFonts w:ascii="Times New Roman" w:hAnsi="Times New Roman" w:eastAsia="宋体" w:cs="Times New Roman"/>
              </w:rPr>
            </w:pPr>
            <w:r>
              <w:rPr>
                <w:rFonts w:ascii="Times New Roman" w:hAnsi="Times New Roman" w:cs="Times New Roman"/>
                <w:lang w:eastAsia="en-US"/>
              </w:rPr>
              <w:t>Cross-border IP Licensing and Transaction Risks</w:t>
            </w:r>
          </w:p>
        </w:tc>
        <w:tc>
          <w:tcPr>
            <w:tcW w:w="2047" w:type="dxa"/>
          </w:tcPr>
          <w:p w14:paraId="2D41218E">
            <w:pPr>
              <w:spacing w:before="120" w:after="120" w:line="240" w:lineRule="auto"/>
              <w:jc w:val="center"/>
              <w:rPr>
                <w:rFonts w:ascii="Times New Roman" w:hAnsi="Times New Roman" w:eastAsia="宋体" w:cs="Times New Roman"/>
              </w:rPr>
            </w:pPr>
            <w:r>
              <w:rPr>
                <w:rFonts w:hint="eastAsia" w:ascii="Times New Roman" w:hAnsi="Times New Roman" w:eastAsia="宋体" w:cs="Times New Roman"/>
                <w:color w:val="auto"/>
                <w:highlight w:val="none"/>
                <w:lang w:val="en-US" w:eastAsia="zh-CN"/>
              </w:rPr>
              <w:t>明法楼</w:t>
            </w:r>
            <w:r>
              <w:rPr>
                <w:rFonts w:hint="eastAsia" w:ascii="Times New Roman" w:hAnsi="Times New Roman" w:eastAsia="宋体" w:cs="Times New Roman"/>
                <w:lang w:val="en-US" w:eastAsia="zh-CN"/>
              </w:rPr>
              <w:t>西楼B301</w:t>
            </w:r>
          </w:p>
        </w:tc>
      </w:tr>
      <w:tr w14:paraId="5F0C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4159AAC2">
            <w:pPr>
              <w:spacing w:before="120" w:after="120" w:line="240" w:lineRule="auto"/>
              <w:jc w:val="center"/>
              <w:rPr>
                <w:rFonts w:ascii="Times New Roman" w:hAnsi="Times New Roman" w:eastAsia="宋体" w:cs="Times New Roman"/>
              </w:rPr>
            </w:pPr>
            <w:r>
              <w:rPr>
                <w:rFonts w:ascii="Times New Roman" w:hAnsi="Times New Roman" w:eastAsia="宋体" w:cs="Times New Roman"/>
              </w:rPr>
              <w:t>Lecture 6</w:t>
            </w:r>
          </w:p>
        </w:tc>
        <w:tc>
          <w:tcPr>
            <w:tcW w:w="6330" w:type="dxa"/>
            <w:vAlign w:val="center"/>
          </w:tcPr>
          <w:p w14:paraId="225B7B89">
            <w:pPr>
              <w:jc w:val="center"/>
              <w:rPr>
                <w:rFonts w:ascii="Times New Roman" w:hAnsi="Times New Roman" w:eastAsia="宋体" w:cs="Times New Roman"/>
                <w:lang w:eastAsia="en-US"/>
              </w:rPr>
            </w:pPr>
            <w:r>
              <w:rPr>
                <w:rFonts w:ascii="Times New Roman" w:hAnsi="Times New Roman" w:eastAsia="宋体" w:cs="Times New Roman"/>
                <w:lang w:eastAsia="en-US"/>
              </w:rPr>
              <w:t>技术转让、合资经营与知识产权安排</w:t>
            </w:r>
          </w:p>
          <w:p w14:paraId="5EDA5BD5">
            <w:pPr>
              <w:jc w:val="center"/>
              <w:rPr>
                <w:rFonts w:ascii="Times New Roman" w:hAnsi="Times New Roman" w:eastAsia="宋体" w:cs="Times New Roman"/>
              </w:rPr>
            </w:pPr>
            <w:r>
              <w:rPr>
                <w:rFonts w:ascii="Times New Roman" w:hAnsi="Times New Roman" w:cs="Times New Roman"/>
                <w:lang w:eastAsia="en-US"/>
              </w:rPr>
              <w:t>Technology Transfer, Joint Ventures and IP Arrangements</w:t>
            </w:r>
          </w:p>
        </w:tc>
        <w:tc>
          <w:tcPr>
            <w:tcW w:w="2047" w:type="dxa"/>
          </w:tcPr>
          <w:p w14:paraId="07478D81">
            <w:pPr>
              <w:spacing w:before="120" w:after="120" w:line="240" w:lineRule="auto"/>
              <w:jc w:val="center"/>
              <w:rPr>
                <w:rFonts w:ascii="Times New Roman" w:hAnsi="Times New Roman" w:eastAsia="宋体" w:cs="Times New Roman"/>
              </w:rPr>
            </w:pPr>
            <w:r>
              <w:rPr>
                <w:rFonts w:hint="eastAsia" w:ascii="Times New Roman" w:hAnsi="Times New Roman" w:eastAsia="宋体" w:cs="Times New Roman"/>
                <w:color w:val="auto"/>
                <w:highlight w:val="none"/>
                <w:lang w:val="en-US" w:eastAsia="zh-CN"/>
              </w:rPr>
              <w:t>明法楼</w:t>
            </w:r>
            <w:r>
              <w:rPr>
                <w:rFonts w:hint="eastAsia" w:ascii="Times New Roman" w:hAnsi="Times New Roman" w:eastAsia="宋体" w:cs="Times New Roman"/>
                <w:lang w:val="en-US" w:eastAsia="zh-CN"/>
              </w:rPr>
              <w:t>西楼B304</w:t>
            </w:r>
          </w:p>
        </w:tc>
      </w:tr>
      <w:tr w14:paraId="5946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71AF953E">
            <w:pPr>
              <w:spacing w:before="120" w:after="120" w:line="240" w:lineRule="auto"/>
              <w:jc w:val="center"/>
              <w:rPr>
                <w:rFonts w:ascii="Times New Roman" w:hAnsi="Times New Roman" w:eastAsia="宋体" w:cs="Times New Roman"/>
              </w:rPr>
            </w:pPr>
            <w:r>
              <w:rPr>
                <w:rFonts w:ascii="Times New Roman" w:hAnsi="Times New Roman" w:eastAsia="宋体" w:cs="Times New Roman"/>
              </w:rPr>
              <w:t>Lecture 7</w:t>
            </w:r>
          </w:p>
        </w:tc>
        <w:tc>
          <w:tcPr>
            <w:tcW w:w="6330" w:type="dxa"/>
            <w:vAlign w:val="center"/>
          </w:tcPr>
          <w:p w14:paraId="3D400003">
            <w:pPr>
              <w:jc w:val="center"/>
              <w:rPr>
                <w:rFonts w:ascii="Times New Roman" w:hAnsi="Times New Roman" w:cs="Times New Roman"/>
                <w:lang w:eastAsia="en-US"/>
              </w:rPr>
            </w:pPr>
            <w:r>
              <w:rPr>
                <w:rFonts w:ascii="Times New Roman" w:hAnsi="Times New Roman" w:cs="Times New Roman"/>
                <w:lang w:eastAsia="en-US"/>
              </w:rPr>
              <w:t>知识产权协议谈判与条款设计</w:t>
            </w:r>
          </w:p>
          <w:p w14:paraId="5319C59B">
            <w:pPr>
              <w:jc w:val="center"/>
              <w:rPr>
                <w:rFonts w:ascii="Times New Roman" w:hAnsi="Times New Roman" w:eastAsia="宋体" w:cs="Times New Roman"/>
              </w:rPr>
            </w:pPr>
            <w:r>
              <w:rPr>
                <w:rFonts w:ascii="Times New Roman" w:hAnsi="Times New Roman" w:cs="Times New Roman"/>
                <w:lang w:eastAsia="en-US"/>
              </w:rPr>
              <w:t>Negotiating and Drafting IP Agreements</w:t>
            </w:r>
          </w:p>
        </w:tc>
        <w:tc>
          <w:tcPr>
            <w:tcW w:w="2047" w:type="dxa"/>
          </w:tcPr>
          <w:p w14:paraId="50654CF4">
            <w:pPr>
              <w:spacing w:before="120" w:after="120" w:line="240" w:lineRule="auto"/>
              <w:jc w:val="center"/>
              <w:rPr>
                <w:rFonts w:ascii="Times New Roman" w:hAnsi="Times New Roman" w:eastAsia="宋体" w:cs="Times New Roman"/>
              </w:rPr>
            </w:pPr>
            <w:r>
              <w:rPr>
                <w:rFonts w:hint="eastAsia" w:ascii="Times New Roman" w:hAnsi="Times New Roman" w:eastAsia="宋体" w:cs="Times New Roman"/>
                <w:color w:val="auto"/>
                <w:highlight w:val="none"/>
                <w:lang w:val="en-US" w:eastAsia="zh-CN"/>
              </w:rPr>
              <w:t>明法楼</w:t>
            </w:r>
            <w:r>
              <w:rPr>
                <w:rFonts w:hint="eastAsia" w:ascii="Times New Roman" w:hAnsi="Times New Roman" w:eastAsia="宋体" w:cs="Times New Roman"/>
                <w:lang w:val="en-US" w:eastAsia="zh-CN"/>
              </w:rPr>
              <w:t>西楼B301</w:t>
            </w:r>
          </w:p>
        </w:tc>
      </w:tr>
      <w:tr w14:paraId="49E1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70A11543">
            <w:pPr>
              <w:spacing w:before="120" w:after="120" w:line="240" w:lineRule="auto"/>
              <w:jc w:val="center"/>
              <w:rPr>
                <w:rFonts w:ascii="Times New Roman" w:hAnsi="Times New Roman" w:eastAsia="宋体" w:cs="Times New Roman"/>
              </w:rPr>
            </w:pPr>
            <w:r>
              <w:rPr>
                <w:rFonts w:ascii="Times New Roman" w:hAnsi="Times New Roman" w:eastAsia="宋体" w:cs="Times New Roman"/>
              </w:rPr>
              <w:t>Lecture 8</w:t>
            </w:r>
          </w:p>
        </w:tc>
        <w:tc>
          <w:tcPr>
            <w:tcW w:w="6330" w:type="dxa"/>
            <w:vAlign w:val="center"/>
          </w:tcPr>
          <w:p w14:paraId="6C085581">
            <w:pPr>
              <w:jc w:val="center"/>
              <w:rPr>
                <w:rFonts w:ascii="Times New Roman" w:hAnsi="Times New Roman" w:cs="Times New Roman"/>
                <w:lang w:eastAsia="en-US"/>
              </w:rPr>
            </w:pPr>
            <w:r>
              <w:rPr>
                <w:rFonts w:hint="eastAsia" w:ascii="Times New Roman" w:hAnsi="Times New Roman" w:eastAsia="宋体" w:cs="Times New Roman"/>
                <w:lang w:eastAsia="en-US"/>
              </w:rPr>
              <w:t>企业交易中的知识产权尽职调查</w:t>
            </w:r>
          </w:p>
          <w:p w14:paraId="5B58BCC1">
            <w:pPr>
              <w:jc w:val="center"/>
              <w:rPr>
                <w:rFonts w:ascii="Times New Roman" w:hAnsi="Times New Roman" w:eastAsia="宋体" w:cs="Times New Roman"/>
              </w:rPr>
            </w:pPr>
            <w:r>
              <w:rPr>
                <w:rFonts w:hint="eastAsia" w:ascii="Times New Roman" w:hAnsi="Times New Roman" w:eastAsia="宋体" w:cs="Times New Roman"/>
                <w:lang w:eastAsia="en-US"/>
              </w:rPr>
              <w:t>IP Due Diligence in Corporate Transactions</w:t>
            </w:r>
          </w:p>
        </w:tc>
        <w:tc>
          <w:tcPr>
            <w:tcW w:w="2047" w:type="dxa"/>
          </w:tcPr>
          <w:p w14:paraId="64D13B6A">
            <w:pPr>
              <w:spacing w:before="120" w:after="120" w:line="240" w:lineRule="auto"/>
              <w:jc w:val="center"/>
              <w:rPr>
                <w:rFonts w:ascii="Times New Roman" w:hAnsi="Times New Roman" w:eastAsia="宋体" w:cs="Times New Roman"/>
              </w:rPr>
            </w:pPr>
            <w:r>
              <w:rPr>
                <w:rFonts w:hint="eastAsia" w:ascii="Times New Roman" w:hAnsi="Times New Roman" w:eastAsia="宋体" w:cs="Times New Roman"/>
                <w:color w:val="auto"/>
                <w:highlight w:val="none"/>
                <w:lang w:val="en-US" w:eastAsia="zh-CN"/>
              </w:rPr>
              <w:t>明法楼</w:t>
            </w:r>
            <w:r>
              <w:rPr>
                <w:rFonts w:hint="eastAsia" w:ascii="Times New Roman" w:hAnsi="Times New Roman" w:eastAsia="宋体" w:cs="Times New Roman"/>
                <w:lang w:val="en-US" w:eastAsia="zh-CN"/>
              </w:rPr>
              <w:t>西楼B304</w:t>
            </w:r>
          </w:p>
        </w:tc>
      </w:tr>
      <w:bookmarkEnd w:id="0"/>
    </w:tbl>
    <w:p w14:paraId="3398948E">
      <w:pPr>
        <w:rPr>
          <w:rFonts w:hint="eastAsia"/>
        </w:rPr>
      </w:pPr>
      <w:bookmarkStart w:id="1" w:name="_GoBack"/>
      <w:bookmarkEnd w:id="1"/>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B38"/>
    <w:rsid w:val="000B69A6"/>
    <w:rsid w:val="000E5FB1"/>
    <w:rsid w:val="00143D42"/>
    <w:rsid w:val="001811D8"/>
    <w:rsid w:val="001E295B"/>
    <w:rsid w:val="002504D7"/>
    <w:rsid w:val="002A6D03"/>
    <w:rsid w:val="003159A0"/>
    <w:rsid w:val="0039528F"/>
    <w:rsid w:val="003C78EE"/>
    <w:rsid w:val="003D6F2B"/>
    <w:rsid w:val="003F2E6D"/>
    <w:rsid w:val="003F490C"/>
    <w:rsid w:val="0045152C"/>
    <w:rsid w:val="00454B4F"/>
    <w:rsid w:val="00483C30"/>
    <w:rsid w:val="004B5DFF"/>
    <w:rsid w:val="005E0232"/>
    <w:rsid w:val="005F6DC1"/>
    <w:rsid w:val="0073166E"/>
    <w:rsid w:val="00787C93"/>
    <w:rsid w:val="00795A39"/>
    <w:rsid w:val="007D3BA7"/>
    <w:rsid w:val="007F452D"/>
    <w:rsid w:val="008163A1"/>
    <w:rsid w:val="00831089"/>
    <w:rsid w:val="008641AC"/>
    <w:rsid w:val="008A6A8A"/>
    <w:rsid w:val="008E3F31"/>
    <w:rsid w:val="00915F12"/>
    <w:rsid w:val="009768CC"/>
    <w:rsid w:val="009B1B38"/>
    <w:rsid w:val="009B576D"/>
    <w:rsid w:val="00A842A7"/>
    <w:rsid w:val="00AA6F67"/>
    <w:rsid w:val="00AD70F2"/>
    <w:rsid w:val="00B058CA"/>
    <w:rsid w:val="00B21CF6"/>
    <w:rsid w:val="00B27830"/>
    <w:rsid w:val="00C100B3"/>
    <w:rsid w:val="00C1789F"/>
    <w:rsid w:val="00C61F4C"/>
    <w:rsid w:val="00CE3B29"/>
    <w:rsid w:val="00D51F29"/>
    <w:rsid w:val="00D7333F"/>
    <w:rsid w:val="00D844A7"/>
    <w:rsid w:val="00DC2448"/>
    <w:rsid w:val="00F060C1"/>
    <w:rsid w:val="00F60C76"/>
    <w:rsid w:val="00FB4D3E"/>
    <w:rsid w:val="00FD0DFA"/>
    <w:rsid w:val="044B7594"/>
    <w:rsid w:val="171669EE"/>
    <w:rsid w:val="217B0148"/>
    <w:rsid w:val="39492D40"/>
    <w:rsid w:val="4BB30517"/>
    <w:rsid w:val="4DA942FB"/>
    <w:rsid w:val="4F7F7DD5"/>
    <w:rsid w:val="513769CE"/>
    <w:rsid w:val="77CFD834"/>
    <w:rsid w:val="7BBF008E"/>
    <w:rsid w:val="7D7FC709"/>
    <w:rsid w:val="7F6329C5"/>
    <w:rsid w:val="A68F7002"/>
    <w:rsid w:val="E77F2D8A"/>
    <w:rsid w:val="FBDF5778"/>
    <w:rsid w:val="FDFD9A85"/>
    <w:rsid w:val="FFFFD54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zh-CN"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Autospacing="1" w:after="0" w:afterAutospacing="1"/>
    </w:pPr>
    <w:rPr>
      <w:rFonts w:cs="Times New Roman"/>
      <w:kern w:val="0"/>
    </w:rPr>
  </w:style>
  <w:style w:type="paragraph" w:styleId="15">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0"/>
      <w:szCs w:val="40"/>
      <w:lang w:val="en-US"/>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32"/>
      <w:szCs w:val="32"/>
      <w:lang w:val="en-US"/>
    </w:rPr>
  </w:style>
  <w:style w:type="character" w:customStyle="1" w:styleId="22">
    <w:name w:val="标题 3 字符"/>
    <w:basedOn w:val="18"/>
    <w:link w:val="4"/>
    <w:semiHidden/>
    <w:qFormat/>
    <w:uiPriority w:val="9"/>
    <w:rPr>
      <w:rFonts w:eastAsiaTheme="majorEastAsia" w:cstheme="majorBidi"/>
      <w:color w:val="104862" w:themeColor="accent1" w:themeShade="BF"/>
      <w:sz w:val="28"/>
      <w:szCs w:val="28"/>
      <w:lang w:val="en-US"/>
    </w:rPr>
  </w:style>
  <w:style w:type="character" w:customStyle="1" w:styleId="23">
    <w:name w:val="标题 4 字符"/>
    <w:basedOn w:val="18"/>
    <w:link w:val="5"/>
    <w:semiHidden/>
    <w:qFormat/>
    <w:uiPriority w:val="9"/>
    <w:rPr>
      <w:rFonts w:eastAsiaTheme="majorEastAsia" w:cstheme="majorBidi"/>
      <w:i/>
      <w:iCs/>
      <w:color w:val="104862" w:themeColor="accent1" w:themeShade="BF"/>
      <w:lang w:val="en-US"/>
    </w:rPr>
  </w:style>
  <w:style w:type="character" w:customStyle="1" w:styleId="24">
    <w:name w:val="标题 5 字符"/>
    <w:basedOn w:val="18"/>
    <w:link w:val="6"/>
    <w:semiHidden/>
    <w:qFormat/>
    <w:uiPriority w:val="9"/>
    <w:rPr>
      <w:rFonts w:eastAsiaTheme="majorEastAsia" w:cstheme="majorBidi"/>
      <w:color w:val="104862" w:themeColor="accent1" w:themeShade="BF"/>
      <w:lang w:val="en-US"/>
    </w:rPr>
  </w:style>
  <w:style w:type="character" w:customStyle="1" w:styleId="25">
    <w:name w:val="标题 6 字符"/>
    <w:basedOn w:val="18"/>
    <w:link w:val="7"/>
    <w:semiHidden/>
    <w:qFormat/>
    <w:uiPriority w:val="9"/>
    <w:rPr>
      <w:rFonts w:eastAsiaTheme="majorEastAsia" w:cstheme="majorBidi"/>
      <w:i/>
      <w:iCs/>
      <w:color w:val="595959" w:themeColor="text1" w:themeTint="A6"/>
      <w:lang w:val="en-US"/>
      <w14:textFill>
        <w14:solidFill>
          <w14:schemeClr w14:val="tx1">
            <w14:lumMod w14:val="65000"/>
            <w14:lumOff w14:val="35000"/>
          </w14:schemeClr>
        </w14:solidFill>
      </w14:textFill>
    </w:rPr>
  </w:style>
  <w:style w:type="character" w:customStyle="1" w:styleId="26">
    <w:name w:val="标题 7 字符"/>
    <w:basedOn w:val="18"/>
    <w:link w:val="8"/>
    <w:semiHidden/>
    <w:qFormat/>
    <w:uiPriority w:val="9"/>
    <w:rPr>
      <w:rFonts w:eastAsiaTheme="majorEastAsia" w:cstheme="majorBidi"/>
      <w:color w:val="595959" w:themeColor="text1" w:themeTint="A6"/>
      <w:lang w:val="en-US"/>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eastAsiaTheme="majorEastAsia" w:cstheme="majorBidi"/>
      <w:i/>
      <w:iCs/>
      <w:color w:val="262626" w:themeColor="text1" w:themeTint="D9"/>
      <w:lang w:val="en-US"/>
      <w14:textFill>
        <w14:solidFill>
          <w14:schemeClr w14:val="tx1">
            <w14:lumMod w14:val="85000"/>
            <w14:lumOff w14:val="15000"/>
          </w14:schemeClr>
        </w14:solidFill>
      </w14:textFill>
    </w:rPr>
  </w:style>
  <w:style w:type="character" w:customStyle="1" w:styleId="28">
    <w:name w:val="标题 9 字符"/>
    <w:basedOn w:val="18"/>
    <w:link w:val="10"/>
    <w:semiHidden/>
    <w:qFormat/>
    <w:uiPriority w:val="9"/>
    <w:rPr>
      <w:rFonts w:eastAsiaTheme="majorEastAsia" w:cstheme="majorBidi"/>
      <w:color w:val="262626" w:themeColor="text1" w:themeTint="D9"/>
      <w:lang w:val="en-US"/>
      <w14:textFill>
        <w14:solidFill>
          <w14:schemeClr w14:val="tx1">
            <w14:lumMod w14:val="85000"/>
            <w14:lumOff w14:val="1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lang w:val="en-US"/>
    </w:rPr>
  </w:style>
  <w:style w:type="character" w:customStyle="1" w:styleId="30">
    <w:name w:val="副标题 字符"/>
    <w:basedOn w:val="18"/>
    <w:link w:val="13"/>
    <w:qFormat/>
    <w:uiPriority w:val="11"/>
    <w:rPr>
      <w:rFonts w:eastAsiaTheme="majorEastAsia" w:cstheme="majorBidi"/>
      <w:color w:val="595959" w:themeColor="text1" w:themeTint="A6"/>
      <w:spacing w:val="15"/>
      <w:sz w:val="28"/>
      <w:szCs w:val="28"/>
      <w:lang w:val="en-US"/>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lang w:val="en-US"/>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lang w:val="en-US"/>
    </w:rPr>
  </w:style>
  <w:style w:type="character" w:customStyle="1" w:styleId="37">
    <w:name w:val="明显参考1"/>
    <w:basedOn w:val="18"/>
    <w:qFormat/>
    <w:uiPriority w:val="32"/>
    <w:rPr>
      <w:b/>
      <w:bCs/>
      <w:smallCaps/>
      <w:color w:val="104862" w:themeColor="accent1" w:themeShade="BF"/>
      <w:spacing w:val="5"/>
    </w:rPr>
  </w:style>
  <w:style w:type="character" w:customStyle="1" w:styleId="38">
    <w:name w:val="页眉 字符"/>
    <w:basedOn w:val="18"/>
    <w:link w:val="12"/>
    <w:qFormat/>
    <w:uiPriority w:val="99"/>
    <w:rPr>
      <w:kern w:val="2"/>
      <w:sz w:val="18"/>
      <w:szCs w:val="18"/>
      <w14:ligatures w14:val="standardContextual"/>
    </w:rPr>
  </w:style>
  <w:style w:type="character" w:customStyle="1" w:styleId="39">
    <w:name w:val="页脚 字符"/>
    <w:basedOn w:val="18"/>
    <w:link w:val="11"/>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908</Words>
  <Characters>2107</Characters>
  <Lines>70</Lines>
  <Paragraphs>53</Paragraphs>
  <TotalTime>4</TotalTime>
  <ScaleCrop>false</ScaleCrop>
  <LinksUpToDate>false</LinksUpToDate>
  <CharactersWithSpaces>2337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2026-03-07T05:32:00Z</dcterms:created>
  <dc:creator>Yifan Li</dc:creator>
  <cp:lastModifiedBy>風玉</cp:lastModifiedBy>
  <dcterms:modified xsi:type="dcterms:W3CDTF">2026-08-28T01:31:20Z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A761F828E0BA5212D654886AAA593817_43</vt:lpwstr>
  </property>
  <property fmtid="{D5CDD505-2E9C-101B-9397-08002B2CF9AE}" pid="4" name="KSOTemplateDocerSaveRecord">
    <vt:lpwstr>eyJoZGlkIjoiNzQzYTlkNmMwZmQzMmZhNjNkYTFkZGRhM2NhZDBiNzAiLCJ1c2VySWQiOiIzNzk2NjYwODAifQ==</vt:lpwstr>
  </property>
</Properties>
</file>