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59" w:after="0" w:line="300" w:lineRule="auto"/>
        <w:jc w:val="center"/>
        <w:outlineLvl w:val="1"/>
        <w:rPr>
          <w:rFonts w:ascii="Times New Roman" w:hAnsi="Times New Roman" w:eastAsia="仿宋_GB2312" w:cs="Times New Roman"/>
          <w:b/>
          <w:color w:val="000000"/>
          <w:kern w:val="2"/>
          <w:sz w:val="36"/>
          <w:szCs w:val="36"/>
          <w:lang w:val="en-US" w:eastAsia="zh-CN"/>
        </w:rPr>
      </w:pPr>
      <w:r>
        <w:rPr>
          <w:rFonts w:ascii="Times New Roman" w:hAnsi="Times New Roman" w:eastAsia="仿宋_GB2312" w:cs="Times New Roman"/>
          <w:b/>
          <w:bCs w:val="0"/>
          <w:color w:val="000000"/>
          <w:kern w:val="2"/>
          <w:sz w:val="36"/>
          <w:szCs w:val="36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kern w:val="2"/>
          <w:sz w:val="36"/>
          <w:szCs w:val="36"/>
          <w:lang w:val="en-US" w:eastAsia="zh-Hans"/>
        </w:rPr>
        <w:t>欧盟法与欧盟航空法前沿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2"/>
          <w:sz w:val="36"/>
          <w:szCs w:val="36"/>
          <w:lang w:val="en-US" w:eastAsia="zh-Hans"/>
        </w:rPr>
        <w:t>》</w:t>
      </w:r>
      <w:r>
        <w:rPr>
          <w:rFonts w:ascii="Times New Roman" w:hAnsi="Times New Roman" w:eastAsia="仿宋_GB2312" w:cs="Times New Roman"/>
          <w:b/>
          <w:bCs w:val="0"/>
          <w:color w:val="000000"/>
          <w:kern w:val="2"/>
          <w:sz w:val="36"/>
          <w:szCs w:val="36"/>
          <w:lang w:val="en-US" w:eastAsia="zh-CN"/>
        </w:rPr>
        <w:t>课程简介和安排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259" w:after="0" w:line="360" w:lineRule="auto"/>
        <w:ind w:firstLine="560" w:firstLineChars="200"/>
        <w:jc w:val="both"/>
        <w:textAlignment w:val="auto"/>
        <w:outlineLvl w:val="1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sz w:val="28"/>
          <w:szCs w:val="28"/>
          <w:lang w:eastAsia="zh-CN"/>
        </w:rPr>
        <w:t>学校启动引智项目，邀请法国巴黎-萨克雷大学（Université Paris-Saclay）万桑·科瑞亚（Vincent Correia）教授来我校为研究生授课，现面向全校在读研究生开放选课。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259" w:after="0" w:line="360" w:lineRule="auto"/>
        <w:ind w:firstLine="562" w:firstLineChars="200"/>
        <w:jc w:val="both"/>
        <w:textAlignment w:val="auto"/>
        <w:outlineLvl w:val="1"/>
        <w:rPr>
          <w:rFonts w:ascii="Times New Roman" w:hAnsi="Times New Roman" w:eastAsia="仿宋" w:cs="Times New Roman"/>
          <w:b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lang w:val="en-US" w:eastAsia="zh-Hans"/>
        </w:rPr>
        <w:t>一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Hans"/>
        </w:rPr>
        <w:t>、</w:t>
      </w:r>
      <w:r>
        <w:rPr>
          <w:rFonts w:ascii="Times New Roman" w:hAnsi="Times New Roman" w:eastAsia="仿宋" w:cs="Times New Roman"/>
          <w:b/>
          <w:bCs w:val="0"/>
          <w:sz w:val="28"/>
          <w:szCs w:val="28"/>
          <w:lang w:eastAsia="zh-CN"/>
        </w:rPr>
        <w:t>授课</w:t>
      </w: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lang w:val="en-US" w:eastAsia="zh-Hans"/>
        </w:rPr>
        <w:t>教师</w:t>
      </w:r>
      <w:r>
        <w:rPr>
          <w:rFonts w:ascii="Times New Roman" w:hAnsi="Times New Roman" w:eastAsia="仿宋" w:cs="Times New Roman"/>
          <w:b/>
          <w:bCs w:val="0"/>
          <w:sz w:val="28"/>
          <w:szCs w:val="28"/>
          <w:lang w:eastAsia="zh-CN"/>
        </w:rPr>
        <w:t>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560"/>
        <w:jc w:val="both"/>
        <w:textAlignment w:val="auto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20320</wp:posOffset>
            </wp:positionV>
            <wp:extent cx="2721610" cy="4083685"/>
            <wp:effectExtent l="0" t="0" r="21590" b="5715"/>
            <wp:wrapSquare wrapText="righ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万桑·科瑞亚（Vincent Correia）教授是法国巴黎-萨克雷大学（Université Paris-Saclay）公法教授和荷兰莱顿大学（Leiden University）航空法与空间法国际研究中心（IIASL）客座教授。他是欧洲航空法协会（EALA）理事会成员和学术委员会主席，国际法协会（ILA）会员，法国航空法与空间法学会（SFDAS）会员以及欧洲研究协会（CEDECE）会员，曾任法国普瓦捷大学（Université de Poitiers）公法教授。2007年至2013年，他曾任法国孟德斯鸠-波尔多四大（Université Montesquieu-Bordeaux IV）讲师。2009年，他赴欧盟法院（CJEU）实习。2010年，他作为法国区域自治航空联盟（SCARA）的主席顾问，处理航空</w:t>
      </w: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  <w:lang w:eastAsia="zh-CN"/>
        </w:rPr>
        <w:t>旅客权利事务，并于同年至欧洲航空安全局（EASA）实习。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/>
        <w:jc w:val="both"/>
        <w:textAlignment w:val="auto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sz w:val="28"/>
          <w:szCs w:val="28"/>
          <w:lang w:eastAsia="zh-CN"/>
        </w:rPr>
        <w:t>科瑞亚教授长期从事国际航空法、欧盟法、欧盟航空法、欧盟对外航空合作、欧洲经济法和国际公法等领域的教学，专长于航空法领域中的市场准入、竞争法、赔偿责任与航空旅客权利、航空安全和环境保护等法律问题。他自孟德斯鸠-波尔多四大毕业，先后取得法国普通大学法律学位（DEUG）、法学本科学位、欧共体法硕士学位和公法博士学位，均以最优等成绩毕业（Summa Cum Laude）。他的博士学位论文《欧盟和国际民用航空秩序——论欧盟对国际航空法当代发展的贡献》荣获孟德斯鸠-波尔多四大“2013年学位论文奖”、法国航空法与空间法学会“2014年学位论文奖”，并于2014年由布瑞朗-拉希埃出版社出版。同年，科瑞亚教授通过了竞争激烈的国家考试（全国排名：第六位）并获得“法律最高学衔资质”（agrégé des facultés de droit）。他发表了为数众多的文章和案例评注，他还是《法国航空法与空间法学刊》的联合编辑，《航空与空间学刊》编委会成员，《欧洲消费者法律学刊》编委会成员，律商联讯法学期刊《法律周》的“欧洲法律编年史”栏目主任以及《魁北克国际法学刊》的同业审稿专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2" w:firstLineChars="200"/>
        <w:jc w:val="both"/>
        <w:textAlignment w:val="auto"/>
        <w:rPr>
          <w:rFonts w:ascii="Times New Roman" w:hAnsi="Times New Roman" w:eastAsia="仿宋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Hans"/>
        </w:rPr>
        <w:t>二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Hans"/>
        </w:rPr>
        <w:t>、</w:t>
      </w:r>
      <w:r>
        <w:rPr>
          <w:rFonts w:ascii="Times New Roman" w:hAnsi="Times New Roman" w:eastAsia="仿宋" w:cs="Times New Roman"/>
          <w:b/>
          <w:sz w:val="28"/>
          <w:szCs w:val="28"/>
          <w:lang w:eastAsia="zh-CN"/>
        </w:rPr>
        <w:t>课程主要内容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both"/>
        <w:textAlignment w:val="auto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sz w:val="28"/>
          <w:szCs w:val="28"/>
          <w:lang w:eastAsia="zh-CN"/>
        </w:rPr>
        <w:t>《欧盟法与欧盟航空法前沿》是国际法领域重要的专业选修课，通过对本门课程的学习使学生掌握欧盟法与欧盟航空法的基本理论、基本知识、基本技能和实践动向，准确理解和分析欧盟航空法和国际法理论实践问题。更重要的是在培养学生分析解决实际问题能力的同时，通过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对比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分析欧盟法与欧盟航空法框架内的多元化法律问题，帮助学生了解国际航空法这一迷人领域的宏观发展和具体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发展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动态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拓展学生的国际法视野和爱国主义情怀，理解中国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对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国际航空法治的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持续贡献和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中国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参与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国际航空法治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的未来需求与广阔天地。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both"/>
        <w:textAlignment w:val="auto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sz w:val="28"/>
          <w:szCs w:val="28"/>
          <w:lang w:eastAsia="zh-CN"/>
        </w:rPr>
        <w:t>本课程包含涉及欧盟法与欧盟航空法的诸多典型主题，包括但不限于（1）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欧盟与欧盟法律制度的形成：欧盟的法律性质、欧盟成立的法律基础、欧盟区别于其他国际组织特征；（2）欧盟的当代发展：历史进程、奠基条约与欧盟成员国现状；（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3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）欧盟法律秩序与欧盟的权能：授权原则、辅助原则、比例原则、真诚合作原则；（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4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）欧盟法的渊源、位阶体系与效力：欧盟初级法源、欧盟法的一般原则、国际条约、欧盟次级法源（条例、指令、决定、建议、意见）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；（5）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欧盟主要机构的职能与权能：欧洲议会、欧洲理事会、欧盟（部长）理事会、欧盟委员会、欧盟法院、欧洲央行与欧盟审计院；（6）欧盟航空法与欧盟对外航空关系：涉及航空领域的欧盟初级法源、欧盟次级法源对航空运输领域的适用、欧盟航空法涉及的主要主题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7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欧盟航空业务的运作：欧盟航权实践与欧盟航空自由化；（8）欧盟法中的承运人责任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与旅客权益保护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：欧盟261/2004号条例及其实践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发展。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Hans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Hans"/>
        </w:rPr>
        <w:t>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Hans"/>
        </w:rPr>
        <w:t>、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Hans"/>
        </w:rPr>
        <w:t>课程教学安排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Hans"/>
        </w:rPr>
      </w:pPr>
      <w:r>
        <w:rPr>
          <w:rFonts w:ascii="Times New Roman" w:hAnsi="Times New Roman" w:eastAsia="仿宋" w:cs="Times New Roman"/>
          <w:sz w:val="28"/>
          <w:szCs w:val="28"/>
          <w:lang w:eastAsia="zh-CN"/>
        </w:rPr>
        <w:t>课程为</w:t>
      </w:r>
      <w:r>
        <w:rPr>
          <w:rFonts w:ascii="Times New Roman" w:hAnsi="Times New Roman" w:eastAsia="仿宋" w:cs="Times New Roman"/>
          <w:b/>
          <w:sz w:val="28"/>
          <w:szCs w:val="28"/>
          <w:lang w:eastAsia="zh-CN"/>
        </w:rPr>
        <w:t>全英文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授课，上课时间集中在</w:t>
      </w:r>
      <w:r>
        <w:rPr>
          <w:rFonts w:ascii="Times New Roman" w:hAnsi="Times New Roman" w:eastAsia="仿宋" w:cs="Times New Roman"/>
          <w:b/>
          <w:sz w:val="28"/>
          <w:szCs w:val="28"/>
          <w:lang w:eastAsia="zh-CN"/>
        </w:rPr>
        <w:t>11月15日至12月8日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  <w:t>（每周二、周四</w:t>
      </w:r>
      <w:r>
        <w:rPr>
          <w:rFonts w:ascii="Times New Roman" w:hAnsi="Times New Roman" w:eastAsia="仿宋" w:cs="Times New Roman"/>
          <w:b/>
          <w:sz w:val="28"/>
          <w:szCs w:val="28"/>
          <w:lang w:eastAsia="zh-CN"/>
        </w:rPr>
        <w:t>18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  <w:t>:</w:t>
      </w:r>
      <w:r>
        <w:rPr>
          <w:rFonts w:ascii="Times New Roman" w:hAnsi="Times New Roman" w:eastAsia="仿宋" w:cs="Times New Roman"/>
          <w:b/>
          <w:sz w:val="28"/>
          <w:szCs w:val="28"/>
          <w:lang w:eastAsia="zh-CN"/>
        </w:rPr>
        <w:t>00-21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  <w:t>:</w:t>
      </w:r>
      <w:r>
        <w:rPr>
          <w:rFonts w:ascii="Times New Roman" w:hAnsi="Times New Roman" w:eastAsia="仿宋" w:cs="Times New Roman"/>
          <w:b/>
          <w:sz w:val="28"/>
          <w:szCs w:val="28"/>
          <w:lang w:eastAsia="zh-CN"/>
        </w:rPr>
        <w:t>00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  <w:t>）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，共计36课时，课程学分2学分，可折抵培养计划规定的公选课课程学分。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Hans"/>
        </w:rPr>
        <w:t>课程具体教学安排详见下表</w:t>
      </w:r>
      <w:r>
        <w:rPr>
          <w:rFonts w:hint="default" w:ascii="Times New Roman" w:hAnsi="Times New Roman" w:eastAsia="仿宋" w:cs="Times New Roman"/>
          <w:sz w:val="28"/>
          <w:szCs w:val="28"/>
          <w:lang w:eastAsia="zh-Hans"/>
        </w:rPr>
        <w:t>：</w:t>
      </w:r>
    </w:p>
    <w:tbl>
      <w:tblPr>
        <w:tblStyle w:val="7"/>
        <w:tblW w:w="8920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3119"/>
        <w:gridCol w:w="1701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892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  <w:lang w:val="en-US" w:eastAsia="zh-CN"/>
              </w:rPr>
              <w:t>欧盟法与欧盟航空法前沿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　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2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第一周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（第11教学周）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星期二（11月15日）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00-21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6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星期四（11月17日）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00-21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第二周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（第12教学周）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星期二（11月22日）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00-21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星期四（11月24日）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00-21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第三周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（第13教学周）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星期二（11月29日）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00-21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星期四（12月1日）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00-21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第四周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（第14教学周）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星期二（12月6日）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00-21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星期四（12月8日）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00-21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130" w:line="360" w:lineRule="auto"/>
        <w:jc w:val="both"/>
        <w:textAlignment w:val="auto"/>
        <w:rPr>
          <w:rFonts w:ascii="Times New Roman" w:hAnsi="Times New Roman" w:eastAsia="仿宋" w:cs="Times New Roman"/>
          <w:color w:val="000000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EUAlbertina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708"/>
  <w:hyphenationZone w:val="425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6D5FE9"/>
    <w:rsid w:val="00000E2C"/>
    <w:rsid w:val="00050492"/>
    <w:rsid w:val="000558DE"/>
    <w:rsid w:val="00081EE2"/>
    <w:rsid w:val="000A0489"/>
    <w:rsid w:val="000A1FC1"/>
    <w:rsid w:val="000A5035"/>
    <w:rsid w:val="000B6802"/>
    <w:rsid w:val="00102353"/>
    <w:rsid w:val="00116F35"/>
    <w:rsid w:val="0013022A"/>
    <w:rsid w:val="00153A61"/>
    <w:rsid w:val="001670FA"/>
    <w:rsid w:val="00171BD9"/>
    <w:rsid w:val="001C3C6F"/>
    <w:rsid w:val="001E7158"/>
    <w:rsid w:val="001F6F11"/>
    <w:rsid w:val="002044E4"/>
    <w:rsid w:val="00210EEF"/>
    <w:rsid w:val="00237255"/>
    <w:rsid w:val="002445B6"/>
    <w:rsid w:val="0025754F"/>
    <w:rsid w:val="0028589F"/>
    <w:rsid w:val="0028764B"/>
    <w:rsid w:val="00290C05"/>
    <w:rsid w:val="002B37A7"/>
    <w:rsid w:val="002D605F"/>
    <w:rsid w:val="002D6692"/>
    <w:rsid w:val="002F7E40"/>
    <w:rsid w:val="003228DF"/>
    <w:rsid w:val="003413B1"/>
    <w:rsid w:val="0035255F"/>
    <w:rsid w:val="00352B84"/>
    <w:rsid w:val="003A1EC8"/>
    <w:rsid w:val="003B1A23"/>
    <w:rsid w:val="003C3070"/>
    <w:rsid w:val="003C6C5B"/>
    <w:rsid w:val="00401FC3"/>
    <w:rsid w:val="004221D1"/>
    <w:rsid w:val="00426B73"/>
    <w:rsid w:val="004366AF"/>
    <w:rsid w:val="0043724E"/>
    <w:rsid w:val="004706BC"/>
    <w:rsid w:val="004862A3"/>
    <w:rsid w:val="00497C1A"/>
    <w:rsid w:val="004A4CAE"/>
    <w:rsid w:val="004C3C32"/>
    <w:rsid w:val="004C6211"/>
    <w:rsid w:val="004C6A0F"/>
    <w:rsid w:val="004E4584"/>
    <w:rsid w:val="004F2073"/>
    <w:rsid w:val="004F3E7A"/>
    <w:rsid w:val="0051146F"/>
    <w:rsid w:val="00546594"/>
    <w:rsid w:val="005777EE"/>
    <w:rsid w:val="00602030"/>
    <w:rsid w:val="00605CB5"/>
    <w:rsid w:val="00614DEF"/>
    <w:rsid w:val="006309ED"/>
    <w:rsid w:val="00633F07"/>
    <w:rsid w:val="006453D1"/>
    <w:rsid w:val="00656E24"/>
    <w:rsid w:val="00694162"/>
    <w:rsid w:val="006A3110"/>
    <w:rsid w:val="006B52EE"/>
    <w:rsid w:val="006C2893"/>
    <w:rsid w:val="006D5FE9"/>
    <w:rsid w:val="006F31EC"/>
    <w:rsid w:val="00732102"/>
    <w:rsid w:val="00754850"/>
    <w:rsid w:val="007549B4"/>
    <w:rsid w:val="007712D5"/>
    <w:rsid w:val="00771E19"/>
    <w:rsid w:val="007912E7"/>
    <w:rsid w:val="00793F52"/>
    <w:rsid w:val="007A78B1"/>
    <w:rsid w:val="007B3102"/>
    <w:rsid w:val="007C69C2"/>
    <w:rsid w:val="007D2698"/>
    <w:rsid w:val="007E693A"/>
    <w:rsid w:val="00806232"/>
    <w:rsid w:val="0085465B"/>
    <w:rsid w:val="00861644"/>
    <w:rsid w:val="00880874"/>
    <w:rsid w:val="008808B3"/>
    <w:rsid w:val="008929F5"/>
    <w:rsid w:val="00895B87"/>
    <w:rsid w:val="008C2E70"/>
    <w:rsid w:val="008C3D00"/>
    <w:rsid w:val="008E2264"/>
    <w:rsid w:val="008E254F"/>
    <w:rsid w:val="008E5CDF"/>
    <w:rsid w:val="008E6348"/>
    <w:rsid w:val="008F2E17"/>
    <w:rsid w:val="00901072"/>
    <w:rsid w:val="00902A2A"/>
    <w:rsid w:val="00933C03"/>
    <w:rsid w:val="0093497A"/>
    <w:rsid w:val="00980066"/>
    <w:rsid w:val="00981ECB"/>
    <w:rsid w:val="009A5283"/>
    <w:rsid w:val="009B1F52"/>
    <w:rsid w:val="009B3B46"/>
    <w:rsid w:val="009B48A8"/>
    <w:rsid w:val="009F49A9"/>
    <w:rsid w:val="00A14ACC"/>
    <w:rsid w:val="00A203FC"/>
    <w:rsid w:val="00A42795"/>
    <w:rsid w:val="00A83D4C"/>
    <w:rsid w:val="00A9036D"/>
    <w:rsid w:val="00AA0975"/>
    <w:rsid w:val="00AA18AD"/>
    <w:rsid w:val="00AB15FF"/>
    <w:rsid w:val="00AB23C3"/>
    <w:rsid w:val="00AB2787"/>
    <w:rsid w:val="00AE2BC6"/>
    <w:rsid w:val="00B0292E"/>
    <w:rsid w:val="00B1396C"/>
    <w:rsid w:val="00B22FA6"/>
    <w:rsid w:val="00B54FBD"/>
    <w:rsid w:val="00B91F6A"/>
    <w:rsid w:val="00BB24B4"/>
    <w:rsid w:val="00BB6239"/>
    <w:rsid w:val="00BE7FBD"/>
    <w:rsid w:val="00BF3711"/>
    <w:rsid w:val="00C05B50"/>
    <w:rsid w:val="00C3086A"/>
    <w:rsid w:val="00C3480B"/>
    <w:rsid w:val="00C6577B"/>
    <w:rsid w:val="00C82DCC"/>
    <w:rsid w:val="00CA0C44"/>
    <w:rsid w:val="00CA5A55"/>
    <w:rsid w:val="00CA5D63"/>
    <w:rsid w:val="00CA6DD0"/>
    <w:rsid w:val="00CB12A0"/>
    <w:rsid w:val="00CB458D"/>
    <w:rsid w:val="00CC5922"/>
    <w:rsid w:val="00CF2797"/>
    <w:rsid w:val="00CF4C0A"/>
    <w:rsid w:val="00D018B4"/>
    <w:rsid w:val="00D2197F"/>
    <w:rsid w:val="00D30866"/>
    <w:rsid w:val="00D4362D"/>
    <w:rsid w:val="00D5548E"/>
    <w:rsid w:val="00D65915"/>
    <w:rsid w:val="00D7079A"/>
    <w:rsid w:val="00D7285F"/>
    <w:rsid w:val="00D83999"/>
    <w:rsid w:val="00D9377E"/>
    <w:rsid w:val="00DB127B"/>
    <w:rsid w:val="00DB14D5"/>
    <w:rsid w:val="00DD128A"/>
    <w:rsid w:val="00E02A86"/>
    <w:rsid w:val="00E146CF"/>
    <w:rsid w:val="00E30951"/>
    <w:rsid w:val="00E33843"/>
    <w:rsid w:val="00E37AF9"/>
    <w:rsid w:val="00E564E3"/>
    <w:rsid w:val="00E609C4"/>
    <w:rsid w:val="00E9055A"/>
    <w:rsid w:val="00E97A19"/>
    <w:rsid w:val="00EA5372"/>
    <w:rsid w:val="00EB3A92"/>
    <w:rsid w:val="00EC534F"/>
    <w:rsid w:val="00ED2BF0"/>
    <w:rsid w:val="00EE0726"/>
    <w:rsid w:val="00EF51A3"/>
    <w:rsid w:val="00F1017E"/>
    <w:rsid w:val="00F16646"/>
    <w:rsid w:val="00F25924"/>
    <w:rsid w:val="00F341E1"/>
    <w:rsid w:val="00F4406A"/>
    <w:rsid w:val="00F6083A"/>
    <w:rsid w:val="00F60852"/>
    <w:rsid w:val="00F81767"/>
    <w:rsid w:val="00F9544C"/>
    <w:rsid w:val="00FA368C"/>
    <w:rsid w:val="00FB5CCA"/>
    <w:rsid w:val="00FB5D72"/>
    <w:rsid w:val="00FC237B"/>
    <w:rsid w:val="00FD17F0"/>
    <w:rsid w:val="00FE098D"/>
    <w:rsid w:val="00FF1A9E"/>
    <w:rsid w:val="019D16DF"/>
    <w:rsid w:val="02E02D89"/>
    <w:rsid w:val="04D875DF"/>
    <w:rsid w:val="067E276A"/>
    <w:rsid w:val="1151385B"/>
    <w:rsid w:val="1DC15B14"/>
    <w:rsid w:val="206D1073"/>
    <w:rsid w:val="22D05EA3"/>
    <w:rsid w:val="334902DA"/>
    <w:rsid w:val="3FA174A9"/>
    <w:rsid w:val="46100315"/>
    <w:rsid w:val="474E47C6"/>
    <w:rsid w:val="551B44AC"/>
    <w:rsid w:val="60EE0A73"/>
    <w:rsid w:val="71B58882"/>
    <w:rsid w:val="77984934"/>
    <w:rsid w:val="7FE42DDA"/>
    <w:rsid w:val="E3FFF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de-DE" w:eastAsia="en-US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  <w:lang w:val="en-US"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rFonts w:hint="eastAsia" w:ascii="微软雅黑" w:hAnsi="微软雅黑" w:eastAsia="微软雅黑" w:cs="微软雅黑"/>
      <w:color w:val="333333"/>
      <w:u w:val="none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EUAlbertina" w:hAnsi="EUAlbertina" w:cs="EUAlbertina" w:eastAsiaTheme="minorEastAsia"/>
      <w:color w:val="000000"/>
      <w:sz w:val="24"/>
      <w:szCs w:val="24"/>
      <w:lang w:val="de-DE" w:eastAsia="en-US" w:bidi="ar-SA"/>
    </w:rPr>
  </w:style>
  <w:style w:type="paragraph" w:customStyle="1" w:styleId="13">
    <w:name w:val="CM1"/>
    <w:basedOn w:val="12"/>
    <w:next w:val="12"/>
    <w:qFormat/>
    <w:uiPriority w:val="99"/>
    <w:rPr>
      <w:rFonts w:cstheme="minorBidi"/>
      <w:color w:val="auto"/>
    </w:rPr>
  </w:style>
  <w:style w:type="paragraph" w:customStyle="1" w:styleId="14">
    <w:name w:val="CM3"/>
    <w:basedOn w:val="12"/>
    <w:next w:val="12"/>
    <w:qFormat/>
    <w:uiPriority w:val="99"/>
    <w:rPr>
      <w:rFonts w:cstheme="minorBidi"/>
      <w:color w:val="auto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de-DE" w:eastAsia="en-US" w:bidi="ar-SA"/>
    </w:rPr>
  </w:style>
  <w:style w:type="character" w:customStyle="1" w:styleId="17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9">
    <w:name w:val="apple-converted-space"/>
    <w:basedOn w:val="9"/>
    <w:qFormat/>
    <w:uiPriority w:val="0"/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item-name"/>
    <w:basedOn w:val="9"/>
    <w:qFormat/>
    <w:uiPriority w:val="0"/>
  </w:style>
  <w:style w:type="character" w:customStyle="1" w:styleId="22">
    <w:name w:val="item-name1"/>
    <w:basedOn w:val="9"/>
    <w:qFormat/>
    <w:uiPriority w:val="0"/>
    <w:rPr>
      <w:rFonts w:ascii="微软雅黑" w:hAnsi="微软雅黑" w:eastAsia="微软雅黑" w:cs="微软雅黑"/>
      <w:b/>
    </w:rPr>
  </w:style>
  <w:style w:type="character" w:customStyle="1" w:styleId="23">
    <w:name w:val="item-name2"/>
    <w:basedOn w:val="9"/>
    <w:qFormat/>
    <w:uiPriority w:val="0"/>
  </w:style>
  <w:style w:type="character" w:customStyle="1" w:styleId="24">
    <w:name w:val="item-name3"/>
    <w:basedOn w:val="9"/>
    <w:qFormat/>
    <w:uiPriority w:val="0"/>
  </w:style>
  <w:style w:type="character" w:customStyle="1" w:styleId="25">
    <w:name w:val="news_title"/>
    <w:basedOn w:val="9"/>
    <w:qFormat/>
    <w:uiPriority w:val="0"/>
  </w:style>
  <w:style w:type="character" w:customStyle="1" w:styleId="26">
    <w:name w:val="news_meta"/>
    <w:basedOn w:val="9"/>
    <w:qFormat/>
    <w:uiPriority w:val="0"/>
  </w:style>
  <w:style w:type="character" w:customStyle="1" w:styleId="27">
    <w:name w:val="column-name12"/>
    <w:basedOn w:val="9"/>
    <w:qFormat/>
    <w:uiPriority w:val="0"/>
    <w:rPr>
      <w:color w:val="7D1010"/>
    </w:rPr>
  </w:style>
  <w:style w:type="character" w:customStyle="1" w:styleId="28">
    <w:name w:val="column-name13"/>
    <w:basedOn w:val="9"/>
    <w:qFormat/>
    <w:uiPriority w:val="0"/>
    <w:rPr>
      <w:color w:val="124D83"/>
    </w:rPr>
  </w:style>
  <w:style w:type="character" w:customStyle="1" w:styleId="29">
    <w:name w:val="column-name14"/>
    <w:basedOn w:val="9"/>
    <w:qFormat/>
    <w:uiPriority w:val="0"/>
    <w:rPr>
      <w:color w:val="124D83"/>
    </w:rPr>
  </w:style>
  <w:style w:type="character" w:customStyle="1" w:styleId="30">
    <w:name w:val="column-name15"/>
    <w:basedOn w:val="9"/>
    <w:qFormat/>
    <w:uiPriority w:val="0"/>
    <w:rPr>
      <w:color w:val="124D83"/>
    </w:rPr>
  </w:style>
  <w:style w:type="character" w:customStyle="1" w:styleId="31">
    <w:name w:val="column-name16"/>
    <w:basedOn w:val="9"/>
    <w:qFormat/>
    <w:uiPriority w:val="0"/>
    <w:rPr>
      <w:color w:val="124D83"/>
    </w:rPr>
  </w:style>
  <w:style w:type="paragraph" w:customStyle="1" w:styleId="32">
    <w:name w:val="arti_metas"/>
    <w:basedOn w:val="1"/>
    <w:qFormat/>
    <w:uiPriority w:val="0"/>
    <w:pPr>
      <w:jc w:val="center"/>
    </w:pPr>
    <w:rPr>
      <w:rFonts w:cs="Times New Roman"/>
      <w:lang w:val="en-US" w:eastAsia="zh-CN"/>
    </w:rPr>
  </w:style>
  <w:style w:type="character" w:customStyle="1" w:styleId="33">
    <w:name w:val="hover26"/>
    <w:basedOn w:val="9"/>
    <w:qFormat/>
    <w:uiPriority w:val="0"/>
    <w:rPr>
      <w:color w:val="CD0200"/>
    </w:rPr>
  </w:style>
  <w:style w:type="character" w:customStyle="1" w:styleId="34">
    <w:name w:val="wp_visitcount1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303</Words>
  <Characters>1729</Characters>
  <Lines>14</Lines>
  <Paragraphs>4</Paragraphs>
  <TotalTime>13</TotalTime>
  <ScaleCrop>false</ScaleCrop>
  <LinksUpToDate>false</LinksUpToDate>
  <CharactersWithSpaces>2028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2022-11-02T07:34:00Z</dcterms:created>
  <dc:creator>Binder</dc:creator>
  <cp:lastModifiedBy>邓淑娅</cp:lastModifiedBy>
  <cp:lastPrinted>2019-02-22T21:01:00Z</cp:lastPrinted>
  <dcterms:modified xsi:type="dcterms:W3CDTF">2022-11-09T10:28:16Z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F4936FE8FBC74E88B969A0CD65AF2A77</vt:lpwstr>
  </property>
</Properties>
</file>