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DCBB6">
      <w:pPr>
        <w:keepNext w:val="0"/>
        <w:keepLines w:val="0"/>
        <w:widowControl/>
        <w:suppressLineNumbers w:val="0"/>
        <w:spacing w:before="0" w:beforeAutospacing="1" w:after="200" w:afterAutospacing="0" w:line="273" w:lineRule="auto"/>
        <w:ind w:left="0" w:right="0"/>
        <w:jc w:val="center"/>
        <w:rPr>
          <w:rFonts w:hint="default" w:ascii="Times New Roman" w:hAnsi="Times New Roman" w:eastAsia="仿宋_GB2312" w:cs="Times New Roman"/>
          <w:b/>
          <w:bCs w:val="0"/>
          <w:sz w:val="28"/>
          <w:szCs w:val="28"/>
        </w:rPr>
      </w:pPr>
      <w:bookmarkStart w:id="0" w:name="_GoBack"/>
      <w:r>
        <w:rPr>
          <w:rFonts w:hint="eastAsia" w:ascii="仿宋_GB2312" w:hAnsi="Times New Roman" w:eastAsia="仿宋_GB2312" w:cs="仿宋_GB2312"/>
          <w:b/>
          <w:bCs w:val="0"/>
          <w:kern w:val="0"/>
          <w:sz w:val="28"/>
          <w:szCs w:val="28"/>
          <w:lang w:val="en-US" w:eastAsia="zh-CN" w:bidi="ar"/>
        </w:rPr>
        <w:t>普通法导论</w:t>
      </w:r>
    </w:p>
    <w:bookmarkEnd w:id="0"/>
    <w:p w14:paraId="55700036">
      <w:pPr>
        <w:keepNext w:val="0"/>
        <w:keepLines w:val="0"/>
        <w:widowControl/>
        <w:suppressLineNumbers w:val="0"/>
        <w:spacing w:before="0" w:beforeAutospacing="1" w:after="200" w:afterAutospacing="0" w:line="273" w:lineRule="auto"/>
        <w:ind w:left="0" w:right="0"/>
        <w:jc w:val="center"/>
        <w:rPr>
          <w:rFonts w:hint="default" w:ascii="Times New Roman" w:hAnsi="Times New Roman" w:eastAsia="仿宋_GB2312" w:cs="Times New Roman"/>
          <w:b/>
          <w:bCs w:val="0"/>
          <w:sz w:val="28"/>
          <w:szCs w:val="28"/>
        </w:rPr>
      </w:pPr>
      <w:r>
        <w:rPr>
          <w:rFonts w:hint="default" w:ascii="Times New Roman" w:hAnsi="Times New Roman" w:eastAsia="仿宋_GB2312" w:cs="Times New Roman"/>
          <w:b/>
          <w:bCs w:val="0"/>
          <w:kern w:val="0"/>
          <w:sz w:val="28"/>
          <w:szCs w:val="28"/>
          <w:lang w:val="en-US" w:eastAsia="zh-CN" w:bidi="ar"/>
        </w:rPr>
        <w:t>Introduction to the U.S. Common Law System</w:t>
      </w:r>
    </w:p>
    <w:p w14:paraId="3F8EDA47">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b/>
          <w:bCs w:val="0"/>
          <w:sz w:val="28"/>
          <w:szCs w:val="28"/>
        </w:rPr>
      </w:pPr>
      <w:r>
        <w:rPr>
          <w:rFonts w:hint="eastAsia" w:ascii="仿宋_GB2312" w:hAnsi="Times New Roman" w:eastAsia="仿宋_GB2312" w:cs="仿宋_GB2312"/>
          <w:b/>
          <w:bCs w:val="0"/>
          <w:kern w:val="0"/>
          <w:sz w:val="28"/>
          <w:szCs w:val="28"/>
          <w:lang w:val="en-US" w:eastAsia="zh-CN" w:bidi="ar"/>
        </w:rPr>
        <w:t>上课时间与地点</w:t>
      </w:r>
    </w:p>
    <w:p w14:paraId="488F07A3">
      <w:pPr>
        <w:pStyle w:val="2"/>
        <w:keepNext w:val="0"/>
        <w:keepLines w:val="0"/>
        <w:widowControl/>
        <w:suppressLineNumbers w:val="0"/>
        <w:spacing w:before="0" w:beforeAutospacing="1" w:after="200" w:afterAutospacing="0" w:line="360" w:lineRule="auto"/>
        <w:ind w:left="0" w:right="0"/>
        <w:jc w:val="left"/>
        <w:rPr>
          <w:rFonts w:hint="default" w:ascii="Times New Roman" w:hAnsi="Times New Roman" w:eastAsia="仿宋_GB2312" w:cs="Times New Roman"/>
          <w:b/>
          <w:bCs/>
          <w:sz w:val="24"/>
          <w:szCs w:val="24"/>
        </w:rPr>
      </w:pPr>
      <w:r>
        <w:rPr>
          <w:rFonts w:hint="eastAsia" w:ascii="仿宋_GB2312" w:hAnsi="Times New Roman" w:eastAsia="仿宋_GB2312" w:cs="仿宋_GB2312"/>
          <w:kern w:val="0"/>
          <w:sz w:val="24"/>
          <w:szCs w:val="24"/>
          <w:lang w:val="en-US" w:eastAsia="zh-CN" w:bidi="ar"/>
        </w:rPr>
        <w:t>时间：</w:t>
      </w:r>
      <w:r>
        <w:rPr>
          <w:rFonts w:hint="default" w:ascii="Times New Roman" w:hAnsi="Times New Roman" w:eastAsia="仿宋_GB2312" w:cs="Times New Roman"/>
          <w:kern w:val="0"/>
          <w:sz w:val="24"/>
          <w:szCs w:val="24"/>
          <w:lang w:val="en-US" w:eastAsia="zh-CN" w:bidi="ar"/>
        </w:rPr>
        <w:t>2026</w:t>
      </w:r>
      <w:r>
        <w:rPr>
          <w:rFonts w:hint="eastAsia" w:ascii="仿宋_GB2312" w:hAnsi="Times New Roman" w:eastAsia="仿宋_GB2312" w:cs="仿宋_GB2312"/>
          <w:kern w:val="0"/>
          <w:sz w:val="24"/>
          <w:szCs w:val="24"/>
          <w:lang w:val="en-US" w:eastAsia="zh-CN" w:bidi="ar"/>
        </w:rPr>
        <w:t>年</w:t>
      </w:r>
      <w:r>
        <w:rPr>
          <w:rFonts w:hint="default" w:ascii="Times New Roman" w:hAnsi="Times New Roman" w:eastAsia="仿宋_GB2312" w:cs="Times New Roman"/>
          <w:kern w:val="0"/>
          <w:sz w:val="24"/>
          <w:szCs w:val="24"/>
          <w:lang w:val="en-US" w:eastAsia="zh-CN" w:bidi="ar"/>
        </w:rPr>
        <w:t>11</w:t>
      </w:r>
      <w:r>
        <w:rPr>
          <w:rFonts w:hint="eastAsia" w:ascii="仿宋_GB2312" w:hAnsi="Times New Roman" w:eastAsia="仿宋_GB2312" w:cs="仿宋_GB2312"/>
          <w:kern w:val="0"/>
          <w:sz w:val="24"/>
          <w:szCs w:val="24"/>
          <w:lang w:val="en-US" w:eastAsia="zh-CN" w:bidi="ar"/>
        </w:rPr>
        <w:t>月</w:t>
      </w:r>
      <w:r>
        <w:rPr>
          <w:rFonts w:hint="default" w:ascii="Times New Roman" w:hAnsi="Times New Roman" w:eastAsia="仿宋_GB2312" w:cs="Times New Roman"/>
          <w:kern w:val="0"/>
          <w:sz w:val="24"/>
          <w:szCs w:val="24"/>
          <w:lang w:val="en-US" w:eastAsia="zh-CN" w:bidi="ar"/>
        </w:rPr>
        <w:t>26</w:t>
      </w:r>
      <w:r>
        <w:rPr>
          <w:rFonts w:hint="eastAsia" w:ascii="仿宋_GB2312" w:hAnsi="Times New Roman" w:eastAsia="仿宋_GB2312" w:cs="仿宋_GB2312"/>
          <w:kern w:val="0"/>
          <w:sz w:val="24"/>
          <w:szCs w:val="24"/>
          <w:lang w:val="en-US" w:eastAsia="zh-CN" w:bidi="ar"/>
        </w:rPr>
        <w:t>日至</w:t>
      </w:r>
      <w:r>
        <w:rPr>
          <w:rFonts w:hint="default" w:ascii="Times New Roman" w:hAnsi="Times New Roman" w:eastAsia="仿宋_GB2312" w:cs="Times New Roman"/>
          <w:kern w:val="0"/>
          <w:sz w:val="24"/>
          <w:szCs w:val="24"/>
          <w:lang w:val="en-US" w:eastAsia="zh-CN" w:bidi="ar"/>
        </w:rPr>
        <w:t>12</w:t>
      </w:r>
      <w:r>
        <w:rPr>
          <w:rFonts w:hint="eastAsia" w:ascii="仿宋_GB2312" w:hAnsi="Times New Roman" w:eastAsia="仿宋_GB2312" w:cs="仿宋_GB2312"/>
          <w:kern w:val="0"/>
          <w:sz w:val="24"/>
          <w:szCs w:val="24"/>
          <w:lang w:val="en-US" w:eastAsia="zh-CN" w:bidi="ar"/>
        </w:rPr>
        <w:t>月</w:t>
      </w:r>
      <w:r>
        <w:rPr>
          <w:rFonts w:hint="default" w:ascii="Times New Roman" w:hAnsi="Times New Roman" w:eastAsia="仿宋_GB2312" w:cs="Times New Roman"/>
          <w:kern w:val="0"/>
          <w:sz w:val="24"/>
          <w:szCs w:val="24"/>
          <w:lang w:val="en-US" w:eastAsia="zh-CN" w:bidi="ar"/>
        </w:rPr>
        <w:t>9</w:t>
      </w:r>
      <w:r>
        <w:rPr>
          <w:rFonts w:hint="eastAsia" w:ascii="仿宋_GB2312" w:hAnsi="Times New Roman" w:eastAsia="仿宋_GB2312" w:cs="仿宋_GB2312"/>
          <w:kern w:val="0"/>
          <w:sz w:val="24"/>
          <w:szCs w:val="24"/>
          <w:lang w:val="en-US" w:eastAsia="zh-CN" w:bidi="ar"/>
        </w:rPr>
        <w:t>日</w:t>
      </w:r>
    </w:p>
    <w:p w14:paraId="03342C63">
      <w:pPr>
        <w:pStyle w:val="2"/>
        <w:keepNext w:val="0"/>
        <w:keepLines w:val="0"/>
        <w:widowControl/>
        <w:suppressLineNumbers w:val="0"/>
        <w:spacing w:before="0" w:beforeAutospacing="1" w:after="200" w:afterAutospacing="0" w:line="360" w:lineRule="auto"/>
        <w:ind w:left="0" w:right="0"/>
        <w:jc w:val="left"/>
        <w:rPr>
          <w:rFonts w:hint="default" w:ascii="Times New Roman" w:hAnsi="Times New Roman" w:eastAsia="仿宋_GB2312" w:cs="Times New Roman"/>
          <w:sz w:val="24"/>
          <w:szCs w:val="24"/>
        </w:rPr>
      </w:pPr>
      <w:r>
        <w:rPr>
          <w:rFonts w:hint="eastAsia" w:ascii="仿宋_GB2312" w:hAnsi="Times New Roman" w:eastAsia="仿宋_GB2312" w:cs="仿宋_GB2312"/>
          <w:kern w:val="0"/>
          <w:sz w:val="24"/>
          <w:szCs w:val="24"/>
          <w:lang w:val="en-US" w:eastAsia="zh-CN" w:bidi="ar"/>
        </w:rPr>
        <w:t>地点：松江校区明理楼北区（具体教室见通知）</w:t>
      </w:r>
    </w:p>
    <w:p w14:paraId="1CD0922F">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b/>
          <w:bCs w:val="0"/>
          <w:sz w:val="28"/>
          <w:szCs w:val="28"/>
        </w:rPr>
      </w:pPr>
      <w:r>
        <w:rPr>
          <w:rFonts w:hint="eastAsia" w:ascii="仿宋_GB2312" w:hAnsi="Times New Roman" w:eastAsia="仿宋_GB2312" w:cs="仿宋_GB2312"/>
          <w:b/>
          <w:bCs w:val="0"/>
          <w:kern w:val="0"/>
          <w:sz w:val="28"/>
          <w:szCs w:val="28"/>
          <w:lang w:val="en-US" w:eastAsia="zh-CN" w:bidi="ar"/>
        </w:rPr>
        <w:t>课程主讲人简介</w:t>
      </w:r>
    </w:p>
    <w:p w14:paraId="62E657E9">
      <w:pPr>
        <w:pStyle w:val="2"/>
        <w:keepNext w:val="0"/>
        <w:keepLines w:val="0"/>
        <w:widowControl/>
        <w:suppressLineNumbers w:val="0"/>
        <w:spacing w:before="0" w:beforeAutospacing="1" w:after="200" w:afterAutospacing="0" w:line="360" w:lineRule="auto"/>
        <w:ind w:left="0" w:right="0" w:firstLine="480" w:firstLineChars="200"/>
        <w:jc w:val="left"/>
        <w:rPr>
          <w:rFonts w:hint="default" w:ascii="Times New Roman" w:hAnsi="Times New Roman" w:eastAsia="仿宋_GB2312" w:cs="Times New Roman"/>
          <w:b w:val="0"/>
          <w:bCs w:val="0"/>
          <w:sz w:val="24"/>
          <w:szCs w:val="24"/>
        </w:rPr>
      </w:pPr>
      <w:r>
        <w:rPr>
          <w:rFonts w:hint="eastAsia" w:ascii="仿宋_GB2312" w:hAnsi="Times New Roman" w:eastAsia="仿宋_GB2312" w:cs="仿宋_GB2312"/>
          <w:b w:val="0"/>
          <w:bCs w:val="0"/>
          <w:kern w:val="0"/>
          <w:sz w:val="24"/>
          <w:szCs w:val="24"/>
          <w:lang w:val="en-US" w:eastAsia="zh-CN" w:bidi="ar"/>
        </w:rPr>
        <w:t>丹</w:t>
      </w:r>
      <w:r>
        <w:rPr>
          <w:rFonts w:hint="default" w:ascii="Times New Roman" w:hAnsi="Times New Roman" w:eastAsia="仿宋_GB2312" w:cs="Times New Roman"/>
          <w:b w:val="0"/>
          <w:bCs w:val="0"/>
          <w:kern w:val="0"/>
          <w:sz w:val="24"/>
          <w:szCs w:val="24"/>
          <w:lang w:val="en-US" w:eastAsia="zh-CN" w:bidi="ar"/>
        </w:rPr>
        <w:t>·</w:t>
      </w:r>
      <w:r>
        <w:rPr>
          <w:rFonts w:hint="eastAsia" w:ascii="仿宋_GB2312" w:hAnsi="Times New Roman" w:eastAsia="仿宋_GB2312" w:cs="仿宋_GB2312"/>
          <w:b w:val="0"/>
          <w:bCs w:val="0"/>
          <w:kern w:val="0"/>
          <w:sz w:val="24"/>
          <w:szCs w:val="24"/>
          <w:lang w:val="en-US" w:eastAsia="zh-CN" w:bidi="ar"/>
        </w:rPr>
        <w:t>古特曼（</w:t>
      </w:r>
      <w:r>
        <w:rPr>
          <w:rFonts w:hint="default" w:ascii="Times New Roman" w:hAnsi="Times New Roman" w:eastAsia="仿宋_GB2312" w:cs="Times New Roman"/>
          <w:b w:val="0"/>
          <w:bCs w:val="0"/>
          <w:kern w:val="0"/>
          <w:sz w:val="24"/>
          <w:szCs w:val="24"/>
          <w:lang w:val="en-US" w:eastAsia="zh-CN" w:bidi="ar"/>
        </w:rPr>
        <w:t>Dan Guttman</w:t>
      </w:r>
      <w:r>
        <w:rPr>
          <w:rFonts w:hint="eastAsia" w:ascii="仿宋_GB2312" w:hAnsi="Times New Roman" w:eastAsia="仿宋_GB2312" w:cs="仿宋_GB2312"/>
          <w:b w:val="0"/>
          <w:bCs w:val="0"/>
          <w:kern w:val="0"/>
          <w:sz w:val="24"/>
          <w:szCs w:val="24"/>
          <w:lang w:val="en-US" w:eastAsia="zh-CN" w:bidi="ar"/>
        </w:rPr>
        <w:t>），美国法律、公共政策与公共治理领域专家，毕业于耶鲁大学法学院，长期从事美国法律、政府治理、环境法、公共政策以及中美比较治理研究与教学。曾任美国总统人类辐射实验咨询委员会执行主任、美国职业安全与健康审查委员会委员，并曾在约翰斯</w:t>
      </w:r>
      <w:r>
        <w:rPr>
          <w:rFonts w:hint="default" w:ascii="Times New Roman" w:hAnsi="Times New Roman" w:eastAsia="仿宋_GB2312" w:cs="Times New Roman"/>
          <w:b w:val="0"/>
          <w:bCs w:val="0"/>
          <w:kern w:val="0"/>
          <w:sz w:val="24"/>
          <w:szCs w:val="24"/>
          <w:lang w:val="en-US" w:eastAsia="zh-CN" w:bidi="ar"/>
        </w:rPr>
        <w:t>·</w:t>
      </w:r>
      <w:r>
        <w:rPr>
          <w:rFonts w:hint="eastAsia" w:ascii="仿宋_GB2312" w:hAnsi="Times New Roman" w:eastAsia="仿宋_GB2312" w:cs="仿宋_GB2312"/>
          <w:b w:val="0"/>
          <w:bCs w:val="0"/>
          <w:kern w:val="0"/>
          <w:sz w:val="24"/>
          <w:szCs w:val="24"/>
          <w:lang w:val="en-US" w:eastAsia="zh-CN" w:bidi="ar"/>
        </w:rPr>
        <w:t>霍普金斯大学、北京大学、清华大学、复旦大学、上海交通大学、南京大学、纽约大学上海等高校任教或开展研究。他是美国国家公共行政学院院士，并长期参与中美公共政策、法律与环境治理领域的学术交流与合作。其研究与实践经验横跨法律、政府、司法及公共政策等领域，具有丰富的美国法律实践与跨国比较研究经验。</w:t>
      </w:r>
    </w:p>
    <w:p w14:paraId="3C518DDA">
      <w:pPr>
        <w:keepNext w:val="0"/>
        <w:keepLines w:val="0"/>
        <w:widowControl/>
        <w:suppressLineNumbers w:val="0"/>
        <w:spacing w:before="0" w:beforeAutospacing="1" w:after="200" w:afterAutospacing="0" w:line="273" w:lineRule="auto"/>
        <w:ind w:left="0" w:right="0"/>
        <w:jc w:val="left"/>
        <w:rPr>
          <w:rFonts w:hint="eastAsia" w:ascii="Times New Roman" w:hAnsi="Times New Roman" w:eastAsia="仿宋_GB2312" w:cs="Times New Roman"/>
          <w:b/>
          <w:bCs w:val="0"/>
          <w:sz w:val="28"/>
          <w:szCs w:val="28"/>
        </w:rPr>
      </w:pPr>
      <w:r>
        <w:rPr>
          <w:rFonts w:hint="eastAsia" w:ascii="仿宋_GB2312" w:hAnsi="Times New Roman" w:eastAsia="仿宋_GB2312" w:cs="仿宋_GB2312"/>
          <w:b/>
          <w:bCs w:val="0"/>
          <w:kern w:val="0"/>
          <w:sz w:val="28"/>
          <w:szCs w:val="28"/>
          <w:lang w:val="en-US" w:eastAsia="zh-CN" w:bidi="ar"/>
        </w:rPr>
        <w:t>课程简介</w:t>
      </w:r>
      <w:r>
        <w:rPr>
          <w:rFonts w:hint="default" w:ascii="Times New Roman" w:hAnsi="Times New Roman" w:eastAsia="仿宋_GB2312" w:cs="Times New Roman"/>
          <w:b/>
          <w:bCs w:val="0"/>
          <w:kern w:val="0"/>
          <w:sz w:val="28"/>
          <w:szCs w:val="28"/>
          <w:lang w:val="en-US" w:eastAsia="zh-CN" w:bidi="ar"/>
        </w:rPr>
        <w:t>Course Overview</w:t>
      </w:r>
    </w:p>
    <w:p w14:paraId="3AC958F1">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lang w:val="en-US" w:eastAsia="zh-CN" w:bidi="ar"/>
        </w:rPr>
        <w:t xml:space="preserve">Today, China and the U.S. both have many laws, lawyers, courts, and judges.  Today, people can go on the web to read the laws of the U.S. and China (often in English).  However, the practical meaning of “law” (including the way specific “laws” work) differs between the countries. </w:t>
      </w:r>
    </w:p>
    <w:p w14:paraId="669677C2">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lang w:val="en-US" w:eastAsia="zh-CN" w:bidi="ar"/>
        </w:rPr>
        <w:t xml:space="preserve"> In order for American and Chinese lawyers (and law students) to learn from and work with one another’s systems, it is essential for them to have the cultural background needed to learn how to “translate” between the systems. </w:t>
      </w:r>
    </w:p>
    <w:p w14:paraId="23928F04">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lang w:val="en-US" w:eastAsia="zh-CN" w:bidi="ar"/>
        </w:rPr>
        <w:t>In this comparative China/US context, this course will provide an introduction to the U.S. common law based system. We will focus the cultural background and clues that will help Chinese lawyers learn how to “translate” between the U.S. and China systems—so that they may use these translation clues as they continue their study and work with U.S. law.</w:t>
      </w:r>
    </w:p>
    <w:p w14:paraId="0CB3B888">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b/>
          <w:bCs w:val="0"/>
          <w:sz w:val="28"/>
          <w:szCs w:val="28"/>
        </w:rPr>
      </w:pPr>
      <w:r>
        <w:rPr>
          <w:rFonts w:hint="eastAsia" w:ascii="仿宋_GB2312" w:hAnsi="Times New Roman" w:eastAsia="仿宋_GB2312" w:cs="仿宋_GB2312"/>
          <w:b/>
          <w:bCs w:val="0"/>
          <w:kern w:val="0"/>
          <w:sz w:val="28"/>
          <w:szCs w:val="28"/>
          <w:lang w:val="en-US" w:eastAsia="zh-CN" w:bidi="ar"/>
        </w:rPr>
        <w:t>课程提纲（暂定）</w:t>
      </w:r>
      <w:r>
        <w:rPr>
          <w:rFonts w:hint="default" w:ascii="Times New Roman" w:hAnsi="Times New Roman" w:eastAsia="仿宋_GB2312" w:cs="Times New Roman"/>
          <w:b/>
          <w:bCs w:val="0"/>
          <w:kern w:val="0"/>
          <w:sz w:val="28"/>
          <w:szCs w:val="28"/>
          <w:lang w:val="en-US" w:eastAsia="zh-CN" w:bidi="ar"/>
        </w:rPr>
        <w:t>Course Sessions</w:t>
      </w:r>
    </w:p>
    <w:tbl>
      <w:tblPr>
        <w:tblStyle w:val="4"/>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824"/>
        <w:gridCol w:w="4921"/>
        <w:gridCol w:w="1294"/>
        <w:gridCol w:w="1780"/>
      </w:tblGrid>
      <w:tr w14:paraId="3956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0A0204A6">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b/>
                <w:bCs/>
                <w:sz w:val="22"/>
                <w:szCs w:val="22"/>
                <w:bdr w:val="none" w:color="auto" w:sz="0" w:space="0"/>
                <w:lang w:eastAsia="en-US"/>
              </w:rPr>
            </w:pPr>
            <w:r>
              <w:rPr>
                <w:rFonts w:hint="eastAsia" w:ascii="仿宋_GB2312" w:hAnsi="Times New Roman" w:eastAsia="仿宋_GB2312" w:cs="仿宋_GB2312"/>
                <w:b/>
                <w:bCs/>
                <w:kern w:val="0"/>
                <w:sz w:val="22"/>
                <w:szCs w:val="22"/>
                <w:bdr w:val="none" w:color="auto" w:sz="0" w:space="0"/>
                <w:lang w:val="en-US" w:eastAsia="en-US" w:bidi="ar"/>
              </w:rPr>
              <w:t>课程</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11E00776">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b/>
                <w:bCs/>
                <w:sz w:val="22"/>
                <w:szCs w:val="22"/>
                <w:bdr w:val="none" w:color="auto" w:sz="0" w:space="0"/>
                <w:lang w:eastAsia="en-US"/>
              </w:rPr>
            </w:pPr>
            <w:r>
              <w:rPr>
                <w:rFonts w:hint="eastAsia" w:ascii="仿宋_GB2312" w:hAnsi="Times New Roman" w:eastAsia="仿宋_GB2312" w:cs="仿宋_GB2312"/>
                <w:b/>
                <w:bCs/>
                <w:kern w:val="0"/>
                <w:sz w:val="22"/>
                <w:szCs w:val="22"/>
                <w:bdr w:val="none" w:color="auto" w:sz="0" w:space="0"/>
                <w:lang w:val="en-US" w:eastAsia="en-US" w:bidi="ar"/>
              </w:rPr>
              <w:t>主题</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1E00CC95">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b/>
                <w:bCs/>
                <w:sz w:val="22"/>
                <w:szCs w:val="22"/>
                <w:bdr w:val="none" w:color="auto" w:sz="0" w:space="0"/>
                <w:lang w:eastAsia="en-US"/>
              </w:rPr>
            </w:pPr>
            <w:r>
              <w:rPr>
                <w:rFonts w:hint="eastAsia" w:ascii="仿宋_GB2312" w:hAnsi="Times New Roman" w:eastAsia="仿宋_GB2312" w:cs="仿宋_GB2312"/>
                <w:b/>
                <w:bCs/>
                <w:kern w:val="0"/>
                <w:sz w:val="22"/>
                <w:szCs w:val="22"/>
                <w:bdr w:val="none" w:color="auto" w:sz="0" w:space="0"/>
                <w:lang w:val="en-US" w:eastAsia="en-US" w:bidi="ar"/>
              </w:rPr>
              <w:t>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7E5EA3B2">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b/>
                <w:bCs/>
                <w:sz w:val="22"/>
                <w:szCs w:val="22"/>
                <w:bdr w:val="none" w:color="auto" w:sz="0" w:space="0"/>
                <w:lang w:eastAsia="en-US"/>
              </w:rPr>
            </w:pPr>
            <w:r>
              <w:rPr>
                <w:rFonts w:hint="eastAsia" w:ascii="仿宋_GB2312" w:hAnsi="Times New Roman" w:eastAsia="仿宋_GB2312" w:cs="仿宋_GB2312"/>
                <w:b/>
                <w:bCs/>
                <w:kern w:val="0"/>
                <w:sz w:val="22"/>
                <w:szCs w:val="22"/>
                <w:bdr w:val="none" w:color="auto" w:sz="0" w:space="0"/>
                <w:lang w:val="en-US" w:eastAsia="en-US" w:bidi="ar"/>
              </w:rPr>
              <w:t>上课地址</w:t>
            </w:r>
          </w:p>
        </w:tc>
      </w:tr>
      <w:tr w14:paraId="2B1B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028C48A2">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讲座一</w:t>
            </w:r>
          </w:p>
          <w:p w14:paraId="4E65A0B1">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11</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26</w:t>
            </w:r>
            <w:r>
              <w:rPr>
                <w:rFonts w:hint="eastAsia" w:ascii="仿宋_GB2312" w:hAnsi="Times New Roman" w:eastAsia="仿宋_GB2312" w:cs="仿宋_GB2312"/>
                <w:kern w:val="0"/>
                <w:sz w:val="22"/>
                <w:szCs w:val="22"/>
                <w:bdr w:val="none" w:color="auto" w:sz="0" w:space="0"/>
                <w:lang w:val="en-US" w:eastAsia="en-US" w:bidi="ar"/>
              </w:rPr>
              <w:t>日上午（周四）</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324D4B9F">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One: Introduction to the American Common law system; and comparison of China and U.S. “OS” (Operating Systems)</w:t>
            </w:r>
          </w:p>
          <w:p w14:paraId="1137E6B1">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Two: Lawyers and Judges (and lawyering, Courts and Judging)</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55EB1D72">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32F1FE1C">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1D287EEF">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506</w:t>
            </w:r>
          </w:p>
        </w:tc>
      </w:tr>
      <w:tr w14:paraId="054B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62" w:hRule="atLeast"/>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0E85BE52">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讲座二</w:t>
            </w:r>
          </w:p>
          <w:p w14:paraId="21B0CAA0">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11</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29</w:t>
            </w:r>
            <w:r>
              <w:rPr>
                <w:rFonts w:hint="eastAsia" w:ascii="仿宋_GB2312" w:hAnsi="Times New Roman" w:eastAsia="仿宋_GB2312" w:cs="仿宋_GB2312"/>
                <w:kern w:val="0"/>
                <w:sz w:val="22"/>
                <w:szCs w:val="22"/>
                <w:bdr w:val="none" w:color="auto" w:sz="0" w:space="0"/>
                <w:lang w:val="en-US" w:eastAsia="en-US" w:bidi="ar"/>
              </w:rPr>
              <w:t>日上午（周日）</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635934BE">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Three: The U.S. Constitution: America’s Most Basic Law in the Common law and U.S. OS tradition</w:t>
            </w:r>
          </w:p>
          <w:p w14:paraId="0D5BFEAF">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Four: Lawmaking by Legislature and Administrative Agency, court (and press and public opinion)-- “How Washington works:” putting the pieces together</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3C651EFE">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7BA77DDE">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0205205F">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506</w:t>
            </w:r>
          </w:p>
        </w:tc>
      </w:tr>
      <w:tr w14:paraId="5358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4B02003E">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讲座三</w:t>
            </w:r>
          </w:p>
          <w:p w14:paraId="0984E7D8">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11</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30</w:t>
            </w:r>
            <w:r>
              <w:rPr>
                <w:rFonts w:hint="eastAsia" w:ascii="仿宋_GB2312" w:hAnsi="Times New Roman" w:eastAsia="仿宋_GB2312" w:cs="仿宋_GB2312"/>
                <w:kern w:val="0"/>
                <w:sz w:val="22"/>
                <w:szCs w:val="22"/>
                <w:bdr w:val="none" w:color="auto" w:sz="0" w:space="0"/>
                <w:lang w:val="en-US" w:eastAsia="en-US" w:bidi="ar"/>
              </w:rPr>
              <w:t>日上午（周一）</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0EABCC17">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Five: “Economic law” courts, common law concepts, legislation regulation-and an introduction to  lawmaking by private citizens</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604DB406">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0DEFD0DA">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3E49058A">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607</w:t>
            </w:r>
          </w:p>
        </w:tc>
      </w:tr>
      <w:tr w14:paraId="0F3D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6D569D3C">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讲座四</w:t>
            </w:r>
          </w:p>
          <w:p w14:paraId="20D7075C">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12</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3</w:t>
            </w:r>
            <w:r>
              <w:rPr>
                <w:rFonts w:hint="eastAsia" w:ascii="仿宋_GB2312" w:hAnsi="Times New Roman" w:eastAsia="仿宋_GB2312" w:cs="仿宋_GB2312"/>
                <w:kern w:val="0"/>
                <w:sz w:val="22"/>
                <w:szCs w:val="22"/>
                <w:bdr w:val="none" w:color="auto" w:sz="0" w:space="0"/>
                <w:lang w:val="en-US" w:eastAsia="en-US" w:bidi="ar"/>
              </w:rPr>
              <w:t>日上午（周四）</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50EBBDDA">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Six: America Public Interest Law; Private Lawyers and Citizens Using law to help solve public problems “from the bottom”</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62A4AF41">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05F5823C">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4EDF1F82">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506</w:t>
            </w:r>
          </w:p>
        </w:tc>
      </w:tr>
      <w:tr w14:paraId="236E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3977282E">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讲座五</w:t>
            </w:r>
          </w:p>
          <w:p w14:paraId="76C606FF">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12</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4</w:t>
            </w:r>
            <w:r>
              <w:rPr>
                <w:rFonts w:hint="eastAsia" w:ascii="仿宋_GB2312" w:hAnsi="Times New Roman" w:eastAsia="仿宋_GB2312" w:cs="仿宋_GB2312"/>
                <w:kern w:val="0"/>
                <w:sz w:val="22"/>
                <w:szCs w:val="22"/>
                <w:bdr w:val="none" w:color="auto" w:sz="0" w:space="0"/>
                <w:lang w:val="en-US" w:eastAsia="en-US" w:bidi="ar"/>
              </w:rPr>
              <w:t>日上午（周五）</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17F5F97D">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Seven: U.S. Environmental law; putting together “common law from the bottom” with legislation, regulation and science</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2B7609AB">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25EEE676">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14D0FB1C">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506</w:t>
            </w:r>
          </w:p>
        </w:tc>
      </w:tr>
      <w:tr w14:paraId="4912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56518A1B">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讲座六</w:t>
            </w:r>
          </w:p>
          <w:p w14:paraId="5DA8EA49">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12</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6</w:t>
            </w:r>
            <w:r>
              <w:rPr>
                <w:rFonts w:hint="eastAsia" w:ascii="仿宋_GB2312" w:hAnsi="Times New Roman" w:eastAsia="仿宋_GB2312" w:cs="仿宋_GB2312"/>
                <w:kern w:val="0"/>
                <w:sz w:val="22"/>
                <w:szCs w:val="22"/>
                <w:bdr w:val="none" w:color="auto" w:sz="0" w:space="0"/>
                <w:lang w:val="en-US" w:eastAsia="en-US" w:bidi="ar"/>
              </w:rPr>
              <w:t>日上午（周日）</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6F65EBE9">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Eight: Fighting Corruption: Citizens as Private Attorney Generals (Whistleblower Law)</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07E4EEA1">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2F1EE185">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17207BD0">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506</w:t>
            </w:r>
          </w:p>
        </w:tc>
      </w:tr>
      <w:tr w14:paraId="0C21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437081EA">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讲座七</w:t>
            </w:r>
          </w:p>
          <w:p w14:paraId="1A5815BD">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12</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7</w:t>
            </w:r>
            <w:r>
              <w:rPr>
                <w:rFonts w:hint="eastAsia" w:ascii="仿宋_GB2312" w:hAnsi="Times New Roman" w:eastAsia="仿宋_GB2312" w:cs="仿宋_GB2312"/>
                <w:kern w:val="0"/>
                <w:sz w:val="22"/>
                <w:szCs w:val="22"/>
                <w:bdr w:val="none" w:color="auto" w:sz="0" w:space="0"/>
                <w:lang w:val="en-US" w:eastAsia="en-US" w:bidi="ar"/>
              </w:rPr>
              <w:t>日上午（周一）</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00A68FB3">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Nine: What “litigation” looks like: Civil Action</w:t>
            </w:r>
          </w:p>
          <w:p w14:paraId="3F9FFDF3">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Ten: Test case litigation: “Moot Court” on Griswold v Connecticut</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73986FA7">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121919A1">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3818C25A">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607</w:t>
            </w:r>
          </w:p>
        </w:tc>
      </w:tr>
      <w:tr w14:paraId="0BD5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atLeast"/>
          <w:jc w:val="center"/>
        </w:trPr>
        <w:tc>
          <w:tcPr>
            <w:tcW w:w="1824" w:type="dxa"/>
            <w:tcBorders>
              <w:top w:val="single" w:color="auto" w:sz="4" w:space="0"/>
              <w:left w:val="single" w:color="auto" w:sz="4" w:space="0"/>
              <w:bottom w:val="single" w:color="auto" w:sz="4" w:space="0"/>
              <w:right w:val="single" w:color="auto" w:sz="4" w:space="0"/>
            </w:tcBorders>
            <w:shd w:val="clear"/>
            <w:vAlign w:val="center"/>
          </w:tcPr>
          <w:p w14:paraId="5A64BAE3">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讲座八</w:t>
            </w:r>
          </w:p>
          <w:p w14:paraId="16599DA4">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12</w:t>
            </w:r>
            <w:r>
              <w:rPr>
                <w:rFonts w:hint="eastAsia" w:ascii="仿宋_GB2312" w:hAnsi="Times New Roman" w:eastAsia="仿宋_GB2312" w:cs="仿宋_GB2312"/>
                <w:kern w:val="0"/>
                <w:sz w:val="22"/>
                <w:szCs w:val="22"/>
                <w:bdr w:val="none" w:color="auto" w:sz="0" w:space="0"/>
                <w:lang w:val="en-US" w:eastAsia="en-US" w:bidi="ar"/>
              </w:rPr>
              <w:t>月</w:t>
            </w:r>
            <w:r>
              <w:rPr>
                <w:rFonts w:hint="default" w:ascii="Times New Roman" w:hAnsi="Times New Roman" w:eastAsia="仿宋_GB2312" w:cs="Times New Roman"/>
                <w:kern w:val="0"/>
                <w:sz w:val="22"/>
                <w:szCs w:val="22"/>
                <w:bdr w:val="none" w:color="auto" w:sz="0" w:space="0"/>
                <w:lang w:val="en-US" w:eastAsia="en-US" w:bidi="ar"/>
              </w:rPr>
              <w:t>9</w:t>
            </w:r>
            <w:r>
              <w:rPr>
                <w:rFonts w:hint="eastAsia" w:ascii="仿宋_GB2312" w:hAnsi="Times New Roman" w:eastAsia="仿宋_GB2312" w:cs="仿宋_GB2312"/>
                <w:kern w:val="0"/>
                <w:sz w:val="22"/>
                <w:szCs w:val="22"/>
                <w:bdr w:val="none" w:color="auto" w:sz="0" w:space="0"/>
                <w:lang w:val="en-US" w:eastAsia="en-US" w:bidi="ar"/>
              </w:rPr>
              <w:t>日上午（周三）</w:t>
            </w:r>
          </w:p>
        </w:tc>
        <w:tc>
          <w:tcPr>
            <w:tcW w:w="4921" w:type="dxa"/>
            <w:tcBorders>
              <w:top w:val="single" w:color="auto" w:sz="4" w:space="0"/>
              <w:left w:val="single" w:color="auto" w:sz="4" w:space="0"/>
              <w:bottom w:val="single" w:color="auto" w:sz="4" w:space="0"/>
              <w:right w:val="single" w:color="auto" w:sz="4" w:space="0"/>
            </w:tcBorders>
            <w:shd w:val="clear"/>
            <w:vAlign w:val="center"/>
          </w:tcPr>
          <w:p w14:paraId="3B938CF5">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default" w:ascii="Times New Roman" w:hAnsi="Times New Roman" w:eastAsia="仿宋_GB2312" w:cs="Times New Roman"/>
                <w:kern w:val="0"/>
                <w:sz w:val="22"/>
                <w:szCs w:val="22"/>
                <w:bdr w:val="none" w:color="auto" w:sz="0" w:space="0"/>
                <w:lang w:val="en-US" w:eastAsia="en-US" w:bidi="ar"/>
              </w:rPr>
              <w:t>Session Eleven: The Jury &amp; Final session-discussion of final papers, selected topics and wrap-up</w:t>
            </w:r>
          </w:p>
        </w:tc>
        <w:tc>
          <w:tcPr>
            <w:tcW w:w="1294" w:type="dxa"/>
            <w:tcBorders>
              <w:top w:val="single" w:color="auto" w:sz="4" w:space="0"/>
              <w:left w:val="single" w:color="auto" w:sz="4" w:space="0"/>
              <w:bottom w:val="single" w:color="auto" w:sz="4" w:space="0"/>
              <w:right w:val="single" w:color="auto" w:sz="4" w:space="0"/>
            </w:tcBorders>
            <w:shd w:val="clear"/>
            <w:vAlign w:val="center"/>
          </w:tcPr>
          <w:p w14:paraId="628AC546">
            <w:pPr>
              <w:keepNext w:val="0"/>
              <w:keepLines w:val="0"/>
              <w:widowControl/>
              <w:suppressLineNumbers w:val="0"/>
              <w:spacing w:before="0" w:beforeAutospacing="1" w:after="200" w:afterAutospacing="0" w:line="360" w:lineRule="auto"/>
              <w:ind w:left="0" w:right="0"/>
              <w:jc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宋丽珏教授、课程助理</w:t>
            </w:r>
          </w:p>
        </w:tc>
        <w:tc>
          <w:tcPr>
            <w:tcW w:w="1780" w:type="dxa"/>
            <w:tcBorders>
              <w:top w:val="single" w:color="auto" w:sz="4" w:space="0"/>
              <w:left w:val="single" w:color="auto" w:sz="4" w:space="0"/>
              <w:bottom w:val="single" w:color="auto" w:sz="4" w:space="0"/>
              <w:right w:val="single" w:color="auto" w:sz="4" w:space="0"/>
            </w:tcBorders>
            <w:shd w:val="clear"/>
            <w:vAlign w:val="center"/>
          </w:tcPr>
          <w:p w14:paraId="4E48DDF2">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松江校区</w:t>
            </w:r>
          </w:p>
          <w:p w14:paraId="2ECCEFEB">
            <w:pPr>
              <w:keepNext w:val="0"/>
              <w:keepLines w:val="0"/>
              <w:widowControl/>
              <w:suppressLineNumbers w:val="0"/>
              <w:spacing w:before="0" w:beforeAutospacing="1" w:after="200" w:afterAutospacing="0" w:line="360" w:lineRule="auto"/>
              <w:ind w:left="0" w:right="0"/>
              <w:jc w:val="center"/>
              <w:textAlignment w:val="center"/>
              <w:rPr>
                <w:rFonts w:hint="default" w:ascii="Times New Roman" w:hAnsi="Times New Roman" w:eastAsia="仿宋_GB2312" w:cs="Times New Roman"/>
                <w:sz w:val="22"/>
                <w:szCs w:val="22"/>
                <w:bdr w:val="none" w:color="auto" w:sz="0" w:space="0"/>
                <w:lang w:eastAsia="en-US"/>
              </w:rPr>
            </w:pPr>
            <w:r>
              <w:rPr>
                <w:rFonts w:hint="eastAsia" w:ascii="仿宋_GB2312" w:hAnsi="Times New Roman" w:eastAsia="仿宋_GB2312" w:cs="仿宋_GB2312"/>
                <w:kern w:val="0"/>
                <w:sz w:val="22"/>
                <w:szCs w:val="22"/>
                <w:bdr w:val="none" w:color="auto" w:sz="0" w:space="0"/>
                <w:lang w:val="en-US" w:eastAsia="en-US" w:bidi="ar"/>
              </w:rPr>
              <w:t>明理楼北</w:t>
            </w:r>
            <w:r>
              <w:rPr>
                <w:rFonts w:hint="default" w:ascii="Times New Roman" w:hAnsi="Times New Roman" w:eastAsia="仿宋_GB2312" w:cs="Times New Roman"/>
                <w:kern w:val="0"/>
                <w:sz w:val="22"/>
                <w:szCs w:val="22"/>
                <w:bdr w:val="none" w:color="auto" w:sz="0" w:space="0"/>
                <w:lang w:val="en-US" w:eastAsia="en-US" w:bidi="ar"/>
              </w:rPr>
              <w:t>406</w:t>
            </w:r>
          </w:p>
        </w:tc>
      </w:tr>
    </w:tbl>
    <w:p w14:paraId="4325D1A5">
      <w:pPr>
        <w:keepNext w:val="0"/>
        <w:keepLines w:val="0"/>
        <w:widowControl/>
        <w:suppressLineNumbers w:val="0"/>
        <w:spacing w:before="0" w:beforeAutospacing="1" w:after="200" w:afterAutospacing="0" w:line="273" w:lineRule="auto"/>
        <w:ind w:left="0" w:right="0"/>
        <w:jc w:val="left"/>
        <w:rPr>
          <w:rFonts w:hint="default" w:ascii="Times New Roman" w:hAnsi="Times New Roman" w:eastAsia="仿宋_GB2312" w:cs="Times New Roman"/>
          <w:b/>
          <w:bCs w:val="0"/>
          <w:sz w:val="28"/>
          <w:szCs w:val="28"/>
        </w:rPr>
      </w:pPr>
    </w:p>
    <w:p w14:paraId="214CE2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004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line="240" w:lineRule="auto"/>
      <w:ind w:left="0" w:right="0"/>
      <w:jc w:val="left"/>
    </w:pPr>
    <w:rPr>
      <w:rFonts w:ascii="宋体" w:hAnsi="宋体" w:eastAsia="宋体" w:cs="宋体"/>
      <w:kern w:val="0"/>
      <w:sz w:val="24"/>
      <w:szCs w:val="24"/>
      <w:lang w:val="en-US" w:eastAsia="zh-CN" w:bidi="ar"/>
    </w:rPr>
  </w:style>
  <w:style w:type="table" w:styleId="4">
    <w:name w:val="Table Grid"/>
    <w:basedOn w:val="3"/>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6">
    <w:name w:val="10"/>
    <w:basedOn w:val="5"/>
    <w:uiPriority w:val="0"/>
    <w:rPr>
      <w:rFonts w:hint="default" w:ascii="Times New Roman" w:hAnsi="Times New Roman" w:cs="Times New Roman"/>
    </w:rPr>
  </w:style>
  <w:style w:type="character" w:customStyle="1" w:styleId="7">
    <w:name w:val="15"/>
    <w:basedOn w:val="5"/>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2026-10-10T06:52:10Z</dcterms:created>
  <dc:creator>Administrator</dc:creator>
  <cp:lastModifiedBy>WPS_1661391034</cp:lastModifiedBy>
  <dcterms:modified xsi:type="dcterms:W3CDTF">2026-10-10T06:52:30Z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eyJoZGlkIjoiYmJhNDU3ZjFiZGUwN2QyNWFiODVjNWYyOTdhMzgwNTciLCJ1c2VySWQiOiIxMzk4NzYwOTEwIn0=</vt:lpwstr>
  </property>
  <property fmtid="{D5CDD505-2E9C-101B-9397-08002B2CF9AE}" pid="4" name="ICV">
    <vt:lpwstr>08F5AE35484145809D193AD4B264B51A_12</vt:lpwstr>
  </property>
</Properties>
</file>