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9BA415">
      <w:pPr>
        <w:jc w:val="center"/>
        <w:rPr>
          <w:bCs/>
          <w:lang w:eastAsia="zh-CN"/>
        </w:rPr>
      </w:pPr>
      <w:bookmarkStart w:id="0" w:name="_GoBack"/>
      <w:r>
        <w:rPr>
          <w:rFonts w:ascii="Arial" w:hAnsi="Arial" w:eastAsia="黑体"/>
          <w:bCs/>
          <w:sz w:val="32"/>
          <w:lang w:eastAsia="zh-CN"/>
        </w:rPr>
        <w:t>医疗侵权责</w:t>
      </w:r>
      <w:bookmarkEnd w:id="0"/>
      <w:r>
        <w:rPr>
          <w:rFonts w:ascii="Arial" w:hAnsi="Arial" w:eastAsia="黑体"/>
          <w:bCs/>
          <w:sz w:val="32"/>
          <w:lang w:eastAsia="zh-CN"/>
        </w:rPr>
        <w:t>任</w:t>
      </w:r>
    </w:p>
    <w:p w14:paraId="64A35033">
      <w:pPr>
        <w:jc w:val="center"/>
        <w:rPr>
          <w:b/>
          <w:bCs/>
          <w:iCs/>
          <w:sz w:val="32"/>
          <w:szCs w:val="32"/>
          <w:lang w:eastAsia="zh-CN"/>
        </w:rPr>
      </w:pPr>
      <w:r>
        <w:rPr>
          <w:b/>
          <w:bCs/>
          <w:iCs/>
          <w:sz w:val="32"/>
          <w:szCs w:val="32"/>
          <w:lang w:eastAsia="zh-CN"/>
        </w:rPr>
        <w:t>Medical Negligence</w:t>
      </w:r>
    </w:p>
    <w:p w14:paraId="684895B5">
      <w:pPr>
        <w:spacing w:before="160"/>
        <w:rPr>
          <w:bCs/>
          <w:sz w:val="28"/>
          <w:szCs w:val="28"/>
          <w:lang w:eastAsia="zh-CN"/>
        </w:rPr>
      </w:pPr>
      <w:r>
        <w:rPr>
          <w:rFonts w:ascii="Arial" w:hAnsi="Arial" w:eastAsia="黑体"/>
          <w:bCs/>
          <w:sz w:val="28"/>
          <w:szCs w:val="28"/>
          <w:lang w:eastAsia="zh-CN"/>
        </w:rPr>
        <w:t>课程主讲人简介</w:t>
      </w:r>
    </w:p>
    <w:p w14:paraId="43A43125">
      <w:pPr>
        <w:spacing w:line="300" w:lineRule="auto"/>
        <w:ind w:firstLine="420"/>
        <w:jc w:val="both"/>
        <w:rPr>
          <w:rFonts w:ascii="仿宋" w:hAnsi="仿宋" w:eastAsia="仿宋"/>
          <w:sz w:val="24"/>
          <w:szCs w:val="24"/>
          <w:lang w:eastAsia="zh-CN"/>
        </w:rPr>
      </w:pPr>
      <w:r>
        <w:rPr>
          <w:rFonts w:ascii="仿宋" w:hAnsi="仿宋" w:eastAsia="仿宋"/>
          <w:sz w:val="24"/>
          <w:szCs w:val="24"/>
          <w:lang w:eastAsia="zh-CN"/>
        </w:rPr>
        <w:t>Roy G. Beran AM教授是神经科专科医师和认证睡眠医师，并长期从事法律医学、公共卫生、军事医学和航空医学研究与实践。现任新南威尔士大学医学兼职教授、昆士兰格里菲斯大学医学院教授，并任西悉尼大学医学联合教授。他是澳大拉西亚法律医学学院（ACLM）创始院士、前任主席及荣誉终身会员，并继续参与该学院相关工作；同时曾在世界医学法学协会（WAML）担任主席、澳大利亚理事、秘书长和副主席等职。Beran教授已发表论文、书章及学术通讯420余篇，在国内外学术会议作报告480余次，著有或主编著作19部。其研究领域包括法律医学、医疗过失、知情同意、专家证据、癫痫、脑震荡、睡眠医学、卒中、神经流行病学和医学教育等。他曾在澳大利亚皇家海军预备役担任Commander，并于2015年获授澳大利亚勋章成员（Member of the Order of Australia）。</w:t>
      </w:r>
    </w:p>
    <w:p w14:paraId="0CFE43F8">
      <w:pPr>
        <w:jc w:val="both"/>
        <w:rPr>
          <w:sz w:val="28"/>
          <w:szCs w:val="28"/>
          <w:lang w:eastAsia="zh-CN"/>
        </w:rPr>
      </w:pPr>
      <w:r>
        <w:rPr>
          <w:b/>
          <w:sz w:val="28"/>
          <w:szCs w:val="28"/>
          <w:lang w:eastAsia="zh-CN"/>
        </w:rPr>
        <w:t>Profile</w:t>
      </w:r>
    </w:p>
    <w:p w14:paraId="1182274F">
      <w:pPr>
        <w:spacing w:line="252" w:lineRule="auto"/>
        <w:ind w:firstLine="480" w:firstLineChars="200"/>
        <w:jc w:val="both"/>
        <w:rPr>
          <w:sz w:val="24"/>
          <w:szCs w:val="24"/>
        </w:rPr>
      </w:pPr>
      <w:r>
        <w:rPr>
          <w:sz w:val="24"/>
          <w:szCs w:val="24"/>
          <w:lang w:eastAsia="zh-CN"/>
        </w:rPr>
        <w:t xml:space="preserve">Professor Roy G. Beran AM was trained as a consultant neurologist and accredited sleep physician with extensive experience in legal medicine, public health, military medicine and aviation medicine. </w:t>
      </w:r>
      <w:r>
        <w:rPr>
          <w:sz w:val="24"/>
          <w:szCs w:val="24"/>
        </w:rPr>
        <w:t>He is an Adjunct Professor of Medicine at the University of New South Wales, a Professor in the School of Medicine at Griffith University, Queensland, and a Conjoint Professor at Western Sydney University. He is a founding Fellow, Past President and Honorary Life Member of the Australasian College of Legal Medicine (ACLM), continues to serve on its Council, and has been involved in coordinating its training courses. He has also held senior roles in the World Association for Medical Law (WAML), including Immediate Past President, Australian Governor, Secretary General and Vice President. Professor Beran has published more than 420 papers, book chapters and letters, delivered more than 480 presentations at national and international meetings, and written or edited 19 books. His interests include legal medicine, medical negligence, informed consent, expert evidence, epilepsy, concussion, sleep medicine, stroke, neuroepidemiology and medical education. He served as a Commander in the Royal Australian Navy Reserve and was appointed a Member of the Order of Australia in 2015.</w:t>
      </w:r>
    </w:p>
    <w:p w14:paraId="492ACD9A">
      <w:pPr>
        <w:rPr>
          <w:rFonts w:ascii="黑体" w:hAnsi="黑体" w:eastAsia="黑体"/>
          <w:bCs/>
          <w:sz w:val="28"/>
          <w:szCs w:val="28"/>
        </w:rPr>
      </w:pPr>
      <w:r>
        <w:rPr>
          <w:rFonts w:hint="eastAsia" w:ascii="黑体" w:hAnsi="黑体" w:eastAsia="黑体"/>
          <w:bCs/>
          <w:sz w:val="28"/>
          <w:szCs w:val="28"/>
          <w:lang w:eastAsia="zh-CN"/>
        </w:rPr>
        <w:t>基本</w:t>
      </w:r>
      <w:r>
        <w:rPr>
          <w:rFonts w:ascii="黑体" w:hAnsi="黑体" w:eastAsia="黑体"/>
          <w:bCs/>
          <w:sz w:val="28"/>
          <w:szCs w:val="28"/>
        </w:rPr>
        <w:t>信息  Basic Information</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5"/>
        <w:gridCol w:w="5147"/>
      </w:tblGrid>
      <w:tr w14:paraId="44D30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815" w:type="dxa"/>
            <w:shd w:val="clear" w:color="auto" w:fill="F2F2F2"/>
            <w:vAlign w:val="center"/>
          </w:tcPr>
          <w:p w14:paraId="0A1E66DD">
            <w:pPr>
              <w:spacing w:after="0" w:line="240" w:lineRule="auto"/>
              <w:rPr>
                <w:sz w:val="28"/>
                <w:szCs w:val="28"/>
              </w:rPr>
            </w:pPr>
            <w:r>
              <w:rPr>
                <w:b/>
                <w:sz w:val="28"/>
                <w:szCs w:val="28"/>
              </w:rPr>
              <w:t>院系 School</w:t>
            </w:r>
          </w:p>
        </w:tc>
        <w:tc>
          <w:tcPr>
            <w:tcW w:w="5147" w:type="dxa"/>
            <w:vAlign w:val="center"/>
          </w:tcPr>
          <w:p w14:paraId="4B5CDE90">
            <w:pPr>
              <w:spacing w:after="0" w:line="240" w:lineRule="auto"/>
              <w:rPr>
                <w:sz w:val="28"/>
                <w:szCs w:val="28"/>
              </w:rPr>
            </w:pPr>
            <w:r>
              <w:rPr>
                <w:sz w:val="28"/>
                <w:szCs w:val="28"/>
              </w:rPr>
              <w:t>中国法治战略研究院</w:t>
            </w:r>
          </w:p>
        </w:tc>
      </w:tr>
      <w:tr w14:paraId="69D02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5" w:type="dxa"/>
            <w:shd w:val="clear" w:color="auto" w:fill="F2F2F2"/>
            <w:vAlign w:val="center"/>
          </w:tcPr>
          <w:p w14:paraId="700995BA">
            <w:pPr>
              <w:spacing w:after="0" w:line="240" w:lineRule="auto"/>
              <w:rPr>
                <w:sz w:val="28"/>
                <w:szCs w:val="28"/>
              </w:rPr>
            </w:pPr>
            <w:r>
              <w:rPr>
                <w:b/>
                <w:sz w:val="28"/>
                <w:szCs w:val="28"/>
              </w:rPr>
              <w:t>选课对象 Registration Recommendations</w:t>
            </w:r>
          </w:p>
        </w:tc>
        <w:tc>
          <w:tcPr>
            <w:tcW w:w="5147" w:type="dxa"/>
            <w:vAlign w:val="center"/>
          </w:tcPr>
          <w:p w14:paraId="3AC1EF2A">
            <w:pPr>
              <w:spacing w:after="0" w:line="240" w:lineRule="auto"/>
              <w:rPr>
                <w:sz w:val="28"/>
                <w:szCs w:val="28"/>
              </w:rPr>
            </w:pPr>
            <w:r>
              <w:rPr>
                <w:sz w:val="28"/>
                <w:szCs w:val="28"/>
              </w:rPr>
              <w:t>研究生 Graduates</w:t>
            </w:r>
          </w:p>
          <w:p w14:paraId="3D00FBFE">
            <w:pPr>
              <w:spacing w:after="0" w:line="240" w:lineRule="auto"/>
              <w:rPr>
                <w:sz w:val="28"/>
                <w:szCs w:val="28"/>
              </w:rPr>
            </w:pPr>
            <w:r>
              <w:rPr>
                <w:rFonts w:hint="eastAsia" w:hAnsi="宋体"/>
                <w:color w:val="000000"/>
                <w:sz w:val="28"/>
                <w:szCs w:val="28"/>
              </w:rPr>
              <w:t>向</w:t>
            </w:r>
            <w:r>
              <w:rPr>
                <w:rFonts w:hint="eastAsia" w:hAnsi="宋体"/>
                <w:color w:val="000000"/>
                <w:sz w:val="28"/>
                <w:szCs w:val="28"/>
                <w:lang w:eastAsia="zh"/>
              </w:rPr>
              <w:t>本科</w:t>
            </w:r>
            <w:r>
              <w:rPr>
                <w:rFonts w:hint="eastAsia" w:hAnsi="宋体"/>
                <w:color w:val="000000"/>
                <w:sz w:val="28"/>
                <w:szCs w:val="28"/>
              </w:rPr>
              <w:t xml:space="preserve">生开放旁听open to </w:t>
            </w:r>
            <w:r>
              <w:rPr>
                <w:rFonts w:hint="eastAsia" w:hAnsi="宋体"/>
                <w:color w:val="000000"/>
                <w:sz w:val="28"/>
                <w:szCs w:val="28"/>
                <w:lang w:eastAsia="zh"/>
              </w:rPr>
              <w:t>under</w:t>
            </w:r>
            <w:r>
              <w:rPr>
                <w:color w:val="000000"/>
                <w:sz w:val="28"/>
                <w:szCs w:val="28"/>
              </w:rPr>
              <w:t>graduates</w:t>
            </w:r>
          </w:p>
        </w:tc>
      </w:tr>
      <w:tr w14:paraId="123CA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5" w:type="dxa"/>
            <w:shd w:val="clear" w:color="auto" w:fill="F2F2F2"/>
            <w:vAlign w:val="center"/>
          </w:tcPr>
          <w:p w14:paraId="70B64FD1">
            <w:pPr>
              <w:spacing w:after="0" w:line="240" w:lineRule="auto"/>
              <w:rPr>
                <w:sz w:val="28"/>
                <w:szCs w:val="28"/>
              </w:rPr>
            </w:pPr>
            <w:r>
              <w:rPr>
                <w:b/>
                <w:sz w:val="28"/>
                <w:szCs w:val="28"/>
              </w:rPr>
              <w:t>课时与学分 Lecture Hours &amp; Credits</w:t>
            </w:r>
          </w:p>
        </w:tc>
        <w:tc>
          <w:tcPr>
            <w:tcW w:w="5147" w:type="dxa"/>
            <w:vAlign w:val="center"/>
          </w:tcPr>
          <w:p w14:paraId="1D20E6A2">
            <w:pPr>
              <w:spacing w:after="0" w:line="240" w:lineRule="auto"/>
              <w:rPr>
                <w:sz w:val="28"/>
                <w:szCs w:val="28"/>
                <w:lang w:eastAsia="zh-CN"/>
              </w:rPr>
            </w:pPr>
            <w:r>
              <w:rPr>
                <w:sz w:val="28"/>
                <w:szCs w:val="28"/>
              </w:rPr>
              <w:t>36学时；学分：</w:t>
            </w:r>
            <w:r>
              <w:rPr>
                <w:rFonts w:hint="eastAsia"/>
                <w:sz w:val="28"/>
                <w:szCs w:val="28"/>
                <w:lang w:eastAsia="zh-CN"/>
              </w:rPr>
              <w:t>2</w:t>
            </w:r>
            <w:r>
              <w:rPr>
                <w:sz w:val="28"/>
                <w:szCs w:val="28"/>
              </w:rPr>
              <w:t xml:space="preserve">  /  36 Lecture Hours; Credits:</w:t>
            </w:r>
            <w:r>
              <w:rPr>
                <w:rFonts w:hint="eastAsia"/>
                <w:sz w:val="28"/>
                <w:szCs w:val="28"/>
                <w:lang w:eastAsia="zh-CN"/>
              </w:rPr>
              <w:t>2</w:t>
            </w:r>
          </w:p>
        </w:tc>
      </w:tr>
      <w:tr w14:paraId="74435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5" w:type="dxa"/>
            <w:shd w:val="clear" w:color="auto" w:fill="F2F2F2"/>
            <w:vAlign w:val="center"/>
          </w:tcPr>
          <w:p w14:paraId="3C379749">
            <w:pPr>
              <w:spacing w:after="0" w:line="240" w:lineRule="auto"/>
              <w:rPr>
                <w:sz w:val="28"/>
                <w:szCs w:val="28"/>
              </w:rPr>
            </w:pPr>
            <w:r>
              <w:rPr>
                <w:b/>
                <w:sz w:val="28"/>
                <w:szCs w:val="28"/>
              </w:rPr>
              <w:t>授课语言 Language taught</w:t>
            </w:r>
          </w:p>
        </w:tc>
        <w:tc>
          <w:tcPr>
            <w:tcW w:w="5147" w:type="dxa"/>
            <w:vAlign w:val="center"/>
          </w:tcPr>
          <w:p w14:paraId="3BB39AB8">
            <w:pPr>
              <w:spacing w:after="0" w:line="240" w:lineRule="auto"/>
              <w:rPr>
                <w:sz w:val="28"/>
                <w:szCs w:val="28"/>
              </w:rPr>
            </w:pPr>
            <w:r>
              <w:rPr>
                <w:sz w:val="28"/>
                <w:szCs w:val="28"/>
              </w:rPr>
              <w:t>英语  English</w:t>
            </w:r>
          </w:p>
        </w:tc>
      </w:tr>
      <w:tr w14:paraId="71D1B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5" w:type="dxa"/>
            <w:shd w:val="clear" w:color="auto" w:fill="F2F2F2"/>
            <w:vAlign w:val="center"/>
          </w:tcPr>
          <w:p w14:paraId="578B91A2">
            <w:pPr>
              <w:spacing w:after="0" w:line="240" w:lineRule="auto"/>
              <w:rPr>
                <w:sz w:val="28"/>
                <w:szCs w:val="28"/>
              </w:rPr>
            </w:pPr>
            <w:r>
              <w:rPr>
                <w:b/>
                <w:sz w:val="28"/>
                <w:szCs w:val="28"/>
              </w:rPr>
              <w:t>授课时间 Date &amp; Time</w:t>
            </w:r>
          </w:p>
        </w:tc>
        <w:tc>
          <w:tcPr>
            <w:tcW w:w="5147" w:type="dxa"/>
            <w:vAlign w:val="center"/>
          </w:tcPr>
          <w:p w14:paraId="205ED9AE">
            <w:pPr>
              <w:spacing w:after="0" w:line="240" w:lineRule="auto"/>
              <w:rPr>
                <w:sz w:val="28"/>
                <w:szCs w:val="28"/>
              </w:rPr>
            </w:pPr>
            <w:r>
              <w:rPr>
                <w:sz w:val="28"/>
                <w:szCs w:val="28"/>
              </w:rPr>
              <w:t>2026年1</w:t>
            </w:r>
            <w:r>
              <w:rPr>
                <w:rFonts w:hint="eastAsia"/>
                <w:sz w:val="28"/>
                <w:szCs w:val="28"/>
                <w:lang w:eastAsia="zh-CN"/>
              </w:rPr>
              <w:t>1</w:t>
            </w:r>
            <w:r>
              <w:rPr>
                <w:sz w:val="28"/>
                <w:szCs w:val="28"/>
              </w:rPr>
              <w:t>月30日</w:t>
            </w:r>
            <w:r>
              <w:rPr>
                <w:rFonts w:hint="eastAsia"/>
                <w:sz w:val="28"/>
                <w:szCs w:val="28"/>
                <w:lang w:eastAsia="zh-CN"/>
              </w:rPr>
              <w:t>-</w:t>
            </w:r>
            <w:r>
              <w:rPr>
                <w:sz w:val="28"/>
                <w:szCs w:val="28"/>
              </w:rPr>
              <w:t>1</w:t>
            </w:r>
            <w:r>
              <w:rPr>
                <w:rFonts w:hint="eastAsia"/>
                <w:sz w:val="28"/>
                <w:szCs w:val="28"/>
                <w:lang w:eastAsia="zh-CN"/>
              </w:rPr>
              <w:t>2</w:t>
            </w:r>
            <w:r>
              <w:rPr>
                <w:sz w:val="28"/>
                <w:szCs w:val="28"/>
              </w:rPr>
              <w:t>月</w:t>
            </w:r>
            <w:r>
              <w:rPr>
                <w:rFonts w:hint="eastAsia"/>
                <w:sz w:val="28"/>
                <w:szCs w:val="28"/>
                <w:lang w:eastAsia="zh-CN"/>
              </w:rPr>
              <w:t>4</w:t>
            </w:r>
            <w:r>
              <w:rPr>
                <w:sz w:val="28"/>
                <w:szCs w:val="28"/>
              </w:rPr>
              <w:t>日、1</w:t>
            </w:r>
            <w:r>
              <w:rPr>
                <w:rFonts w:hint="eastAsia"/>
                <w:sz w:val="28"/>
                <w:szCs w:val="28"/>
                <w:lang w:eastAsia="zh-CN"/>
              </w:rPr>
              <w:t>2</w:t>
            </w:r>
            <w:r>
              <w:rPr>
                <w:sz w:val="28"/>
                <w:szCs w:val="28"/>
              </w:rPr>
              <w:t>月</w:t>
            </w:r>
            <w:r>
              <w:rPr>
                <w:rFonts w:hint="eastAsia"/>
                <w:sz w:val="28"/>
                <w:szCs w:val="28"/>
                <w:lang w:eastAsia="zh-CN"/>
              </w:rPr>
              <w:t>7</w:t>
            </w:r>
            <w:r>
              <w:rPr>
                <w:sz w:val="28"/>
                <w:szCs w:val="28"/>
              </w:rPr>
              <w:t>日至</w:t>
            </w:r>
            <w:r>
              <w:rPr>
                <w:rFonts w:hint="eastAsia"/>
                <w:sz w:val="28"/>
                <w:szCs w:val="28"/>
                <w:lang w:eastAsia="zh-CN"/>
              </w:rPr>
              <w:t>12月9</w:t>
            </w:r>
            <w:r>
              <w:rPr>
                <w:sz w:val="28"/>
                <w:szCs w:val="28"/>
              </w:rPr>
              <w:t>日</w:t>
            </w:r>
            <w:r>
              <w:rPr>
                <w:rFonts w:hint="eastAsia"/>
                <w:sz w:val="28"/>
                <w:szCs w:val="28"/>
                <w:lang w:eastAsia="zh-CN"/>
              </w:rPr>
              <w:t>；每日上午</w:t>
            </w:r>
            <w:r>
              <w:rPr>
                <w:sz w:val="28"/>
                <w:szCs w:val="28"/>
              </w:rPr>
              <w:t>9:00-12:00</w:t>
            </w:r>
          </w:p>
        </w:tc>
      </w:tr>
      <w:tr w14:paraId="7DA5E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5" w:type="dxa"/>
            <w:shd w:val="clear" w:color="auto" w:fill="F2F2F2"/>
            <w:vAlign w:val="center"/>
          </w:tcPr>
          <w:p w14:paraId="1630E85B">
            <w:pPr>
              <w:spacing w:after="0" w:line="240" w:lineRule="auto"/>
              <w:rPr>
                <w:sz w:val="28"/>
                <w:szCs w:val="28"/>
              </w:rPr>
            </w:pPr>
            <w:r>
              <w:rPr>
                <w:b/>
                <w:sz w:val="28"/>
                <w:szCs w:val="28"/>
              </w:rPr>
              <w:t>授课地点 Location</w:t>
            </w:r>
          </w:p>
        </w:tc>
        <w:tc>
          <w:tcPr>
            <w:tcW w:w="5147" w:type="dxa"/>
            <w:vAlign w:val="center"/>
          </w:tcPr>
          <w:p w14:paraId="6D4EA893">
            <w:pPr>
              <w:spacing w:after="0" w:line="240" w:lineRule="auto"/>
              <w:rPr>
                <w:sz w:val="28"/>
                <w:szCs w:val="28"/>
                <w:lang w:eastAsia="zh-CN"/>
              </w:rPr>
            </w:pPr>
            <w:r>
              <w:rPr>
                <w:rFonts w:hint="eastAsia"/>
                <w:sz w:val="28"/>
                <w:szCs w:val="28"/>
                <w:lang w:eastAsia="zh-CN"/>
              </w:rPr>
              <w:t>长宁校区</w:t>
            </w:r>
            <w:r>
              <w:rPr>
                <w:sz w:val="28"/>
                <w:szCs w:val="28"/>
                <w:lang w:eastAsia="zh-CN"/>
              </w:rPr>
              <w:t>东风楼127教室</w:t>
            </w:r>
          </w:p>
        </w:tc>
      </w:tr>
    </w:tbl>
    <w:p w14:paraId="61AC98CA">
      <w:pPr>
        <w:spacing w:before="160"/>
        <w:rPr>
          <w:rFonts w:ascii="黑体" w:hAnsi="黑体" w:eastAsia="黑体"/>
          <w:bCs/>
          <w:sz w:val="28"/>
          <w:szCs w:val="28"/>
        </w:rPr>
      </w:pPr>
      <w:r>
        <w:rPr>
          <w:rFonts w:ascii="黑体" w:hAnsi="黑体" w:eastAsia="黑体"/>
          <w:bCs/>
          <w:sz w:val="28"/>
          <w:szCs w:val="28"/>
        </w:rPr>
        <w:t>课程内容  Course Content</w:t>
      </w:r>
    </w:p>
    <w:p w14:paraId="356E5786">
      <w:pPr>
        <w:spacing w:line="300" w:lineRule="auto"/>
        <w:ind w:firstLine="420"/>
        <w:rPr>
          <w:rFonts w:ascii="仿宋" w:hAnsi="仿宋" w:eastAsia="仿宋"/>
          <w:sz w:val="24"/>
          <w:szCs w:val="24"/>
          <w:lang w:eastAsia="zh-CN"/>
        </w:rPr>
      </w:pPr>
      <w:r>
        <w:rPr>
          <w:rFonts w:ascii="仿宋" w:hAnsi="仿宋" w:eastAsia="仿宋"/>
          <w:sz w:val="24"/>
          <w:szCs w:val="24"/>
          <w:lang w:eastAsia="zh-CN"/>
        </w:rPr>
        <w:t>本课程以普通法背景下的医疗过失责任为核心，围绕医疗专业责任中的注意义务与注意标准、知情同意与警示义务、义务违反、损害、事实因果关系与法律因果关系以及责任判断等问题展开。课程同时讨论对抗制诉讼中的专家证据，并结合远程医疗、健康数据隐私、新兴医疗技术等议题，介绍当代法律医学的发展及其法律与伦理影响。课程将结合案例和实践材料，帮助学生理解普通法医疗过失规则与医疗、法律医学实践之间的关系。</w:t>
      </w:r>
    </w:p>
    <w:p w14:paraId="652076DC">
      <w:pPr>
        <w:rPr>
          <w:sz w:val="28"/>
          <w:szCs w:val="28"/>
        </w:rPr>
      </w:pPr>
      <w:r>
        <w:rPr>
          <w:b/>
          <w:sz w:val="28"/>
          <w:szCs w:val="28"/>
        </w:rPr>
        <w:t>Course Description</w:t>
      </w:r>
    </w:p>
    <w:p w14:paraId="297CC531">
      <w:pPr>
        <w:ind w:firstLine="480" w:firstLineChars="200"/>
        <w:rPr>
          <w:sz w:val="24"/>
          <w:szCs w:val="24"/>
        </w:rPr>
      </w:pPr>
      <w:r>
        <w:rPr>
          <w:sz w:val="24"/>
          <w:szCs w:val="24"/>
        </w:rPr>
        <w:t>This course introduces medical negligence in the common-law context and examines the legal principles governing professional responsibility in healthcare. It focuses on duty and standard of care, informed consent and the duty to warn, breach, harm, factual and legal causation, and liability. It also considers expert evidence in adversarial proceedings and selected contemporary issues in legal medicine, including telemedicine, data privacy and emerging healthcare technologies. Case studies and practical examples connect legal doctrine with medical and medico-legal practice.</w:t>
      </w:r>
    </w:p>
    <w:p w14:paraId="32A5B887">
      <w:pPr>
        <w:rPr>
          <w:rFonts w:ascii="黑体" w:hAnsi="黑体" w:eastAsia="黑体"/>
          <w:bCs/>
          <w:sz w:val="28"/>
          <w:szCs w:val="28"/>
        </w:rPr>
      </w:pPr>
      <w:r>
        <w:rPr>
          <w:rFonts w:ascii="黑体" w:hAnsi="黑体" w:eastAsia="黑体"/>
          <w:bCs/>
          <w:sz w:val="28"/>
          <w:szCs w:val="28"/>
        </w:rPr>
        <w:t>主要讲授主题  Main Topics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2830"/>
        <w:gridCol w:w="3544"/>
        <w:gridCol w:w="2811"/>
      </w:tblGrid>
      <w:tr w14:paraId="3D4C4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shd w:val="clear" w:color="auto" w:fill="F2F2F2"/>
            <w:vAlign w:val="center"/>
          </w:tcPr>
          <w:p w14:paraId="1AA4D0B6">
            <w:pPr>
              <w:spacing w:after="0" w:line="240" w:lineRule="auto"/>
              <w:rPr>
                <w:sz w:val="24"/>
                <w:szCs w:val="24"/>
              </w:rPr>
            </w:pPr>
            <w:r>
              <w:rPr>
                <w:b/>
                <w:sz w:val="24"/>
                <w:szCs w:val="24"/>
              </w:rPr>
              <w:t>序号</w:t>
            </w:r>
          </w:p>
        </w:tc>
        <w:tc>
          <w:tcPr>
            <w:tcW w:w="2830" w:type="dxa"/>
            <w:shd w:val="clear" w:color="auto" w:fill="F2F2F2"/>
            <w:vAlign w:val="center"/>
          </w:tcPr>
          <w:p w14:paraId="3FE79C66">
            <w:pPr>
              <w:spacing w:after="0" w:line="240" w:lineRule="auto"/>
              <w:rPr>
                <w:sz w:val="24"/>
                <w:szCs w:val="24"/>
              </w:rPr>
            </w:pPr>
            <w:r>
              <w:rPr>
                <w:b/>
                <w:sz w:val="24"/>
                <w:szCs w:val="24"/>
              </w:rPr>
              <w:t>Content</w:t>
            </w:r>
          </w:p>
        </w:tc>
        <w:tc>
          <w:tcPr>
            <w:tcW w:w="3544" w:type="dxa"/>
            <w:shd w:val="clear" w:color="auto" w:fill="F2F2F2"/>
            <w:vAlign w:val="center"/>
          </w:tcPr>
          <w:p w14:paraId="3367DD6E">
            <w:pPr>
              <w:spacing w:after="0" w:line="240" w:lineRule="auto"/>
              <w:rPr>
                <w:sz w:val="24"/>
                <w:szCs w:val="24"/>
              </w:rPr>
            </w:pPr>
            <w:r>
              <w:rPr>
                <w:b/>
                <w:sz w:val="24"/>
                <w:szCs w:val="24"/>
              </w:rPr>
              <w:t>Date &amp; Time</w:t>
            </w:r>
          </w:p>
        </w:tc>
        <w:tc>
          <w:tcPr>
            <w:tcW w:w="2811" w:type="dxa"/>
            <w:shd w:val="clear" w:color="auto" w:fill="F2F2F2"/>
            <w:vAlign w:val="center"/>
          </w:tcPr>
          <w:p w14:paraId="32A69FC6">
            <w:pPr>
              <w:spacing w:after="0" w:line="240" w:lineRule="auto"/>
              <w:rPr>
                <w:sz w:val="24"/>
                <w:szCs w:val="24"/>
              </w:rPr>
            </w:pPr>
            <w:r>
              <w:rPr>
                <w:b/>
                <w:sz w:val="24"/>
                <w:szCs w:val="24"/>
              </w:rPr>
              <w:t>Location</w:t>
            </w:r>
          </w:p>
        </w:tc>
      </w:tr>
      <w:tr w14:paraId="1BADD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336AF569">
            <w:pPr>
              <w:spacing w:after="0" w:line="240" w:lineRule="auto"/>
              <w:rPr>
                <w:sz w:val="24"/>
                <w:szCs w:val="24"/>
              </w:rPr>
            </w:pPr>
            <w:r>
              <w:rPr>
                <w:sz w:val="24"/>
                <w:szCs w:val="24"/>
              </w:rPr>
              <w:t>1</w:t>
            </w:r>
          </w:p>
        </w:tc>
        <w:tc>
          <w:tcPr>
            <w:tcW w:w="2830" w:type="dxa"/>
            <w:vAlign w:val="center"/>
          </w:tcPr>
          <w:p w14:paraId="2955903E">
            <w:pPr>
              <w:spacing w:after="0" w:line="240" w:lineRule="auto"/>
              <w:rPr>
                <w:sz w:val="24"/>
                <w:szCs w:val="24"/>
              </w:rPr>
            </w:pPr>
            <w:r>
              <w:rPr>
                <w:sz w:val="24"/>
                <w:szCs w:val="24"/>
              </w:rPr>
              <w:t>Legal history of Australia</w:t>
            </w:r>
          </w:p>
        </w:tc>
        <w:tc>
          <w:tcPr>
            <w:tcW w:w="3544" w:type="dxa"/>
            <w:vAlign w:val="center"/>
          </w:tcPr>
          <w:p w14:paraId="528B5EDB">
            <w:pPr>
              <w:spacing w:after="0" w:line="240" w:lineRule="auto"/>
              <w:rPr>
                <w:sz w:val="24"/>
                <w:szCs w:val="24"/>
              </w:rPr>
            </w:pPr>
            <w:r>
              <w:rPr>
                <w:sz w:val="24"/>
                <w:szCs w:val="24"/>
              </w:rPr>
              <w:t>1</w:t>
            </w:r>
            <w:r>
              <w:rPr>
                <w:rFonts w:hint="eastAsia"/>
                <w:sz w:val="24"/>
                <w:szCs w:val="24"/>
                <w:lang w:eastAsia="zh-CN"/>
              </w:rPr>
              <w:t>1</w:t>
            </w:r>
            <w:r>
              <w:rPr>
                <w:sz w:val="24"/>
                <w:szCs w:val="24"/>
              </w:rPr>
              <w:t>月30日（周</w:t>
            </w:r>
            <w:r>
              <w:rPr>
                <w:rFonts w:hint="eastAsia"/>
                <w:sz w:val="24"/>
                <w:szCs w:val="24"/>
                <w:lang w:eastAsia="zh-CN"/>
              </w:rPr>
              <w:t>一</w:t>
            </w:r>
            <w:r>
              <w:rPr>
                <w:sz w:val="24"/>
                <w:szCs w:val="24"/>
              </w:rPr>
              <w:t>）9:00-12:00</w:t>
            </w:r>
          </w:p>
        </w:tc>
        <w:tc>
          <w:tcPr>
            <w:tcW w:w="2811" w:type="dxa"/>
            <w:vAlign w:val="center"/>
          </w:tcPr>
          <w:p w14:paraId="47C2EA93">
            <w:pPr>
              <w:spacing w:after="0" w:line="240" w:lineRule="auto"/>
              <w:rPr>
                <w:sz w:val="24"/>
                <w:szCs w:val="24"/>
              </w:rPr>
            </w:pPr>
            <w:r>
              <w:rPr>
                <w:rFonts w:hint="eastAsia"/>
                <w:sz w:val="24"/>
                <w:szCs w:val="24"/>
                <w:lang w:eastAsia="zh-CN"/>
              </w:rPr>
              <w:t>长宁校区</w:t>
            </w:r>
            <w:r>
              <w:rPr>
                <w:sz w:val="24"/>
                <w:szCs w:val="24"/>
                <w:lang w:eastAsia="zh-CN"/>
              </w:rPr>
              <w:t>东风楼127教室</w:t>
            </w:r>
          </w:p>
        </w:tc>
      </w:tr>
      <w:tr w14:paraId="15368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77E83F38">
            <w:pPr>
              <w:spacing w:after="0" w:line="240" w:lineRule="auto"/>
              <w:rPr>
                <w:sz w:val="24"/>
                <w:szCs w:val="24"/>
              </w:rPr>
            </w:pPr>
            <w:r>
              <w:rPr>
                <w:sz w:val="24"/>
                <w:szCs w:val="24"/>
              </w:rPr>
              <w:t>2</w:t>
            </w:r>
          </w:p>
        </w:tc>
        <w:tc>
          <w:tcPr>
            <w:tcW w:w="2830" w:type="dxa"/>
            <w:vAlign w:val="center"/>
          </w:tcPr>
          <w:p w14:paraId="23CE46B9">
            <w:pPr>
              <w:spacing w:after="0" w:line="240" w:lineRule="auto"/>
              <w:rPr>
                <w:sz w:val="24"/>
                <w:szCs w:val="24"/>
              </w:rPr>
            </w:pPr>
            <w:r>
              <w:rPr>
                <w:sz w:val="24"/>
                <w:szCs w:val="24"/>
              </w:rPr>
              <w:t>Duty of Care Analysis</w:t>
            </w:r>
          </w:p>
        </w:tc>
        <w:tc>
          <w:tcPr>
            <w:tcW w:w="3544" w:type="dxa"/>
            <w:vAlign w:val="center"/>
          </w:tcPr>
          <w:p w14:paraId="3B7BF8F4">
            <w:pPr>
              <w:spacing w:after="0" w:line="240" w:lineRule="auto"/>
              <w:rPr>
                <w:sz w:val="24"/>
                <w:szCs w:val="24"/>
              </w:rPr>
            </w:pPr>
            <w:r>
              <w:rPr>
                <w:sz w:val="24"/>
                <w:szCs w:val="24"/>
              </w:rPr>
              <w:t>1</w:t>
            </w:r>
            <w:r>
              <w:rPr>
                <w:rFonts w:hint="eastAsia"/>
                <w:sz w:val="24"/>
                <w:szCs w:val="24"/>
                <w:lang w:eastAsia="zh-CN"/>
              </w:rPr>
              <w:t>2</w:t>
            </w:r>
            <w:r>
              <w:rPr>
                <w:sz w:val="24"/>
                <w:szCs w:val="24"/>
              </w:rPr>
              <w:t>月</w:t>
            </w:r>
            <w:r>
              <w:rPr>
                <w:rFonts w:hint="eastAsia"/>
                <w:sz w:val="24"/>
                <w:szCs w:val="24"/>
                <w:lang w:eastAsia="zh-CN"/>
              </w:rPr>
              <w:t>1</w:t>
            </w:r>
            <w:r>
              <w:rPr>
                <w:sz w:val="24"/>
                <w:szCs w:val="24"/>
              </w:rPr>
              <w:t>日（周</w:t>
            </w:r>
            <w:r>
              <w:rPr>
                <w:rFonts w:hint="eastAsia"/>
                <w:sz w:val="24"/>
                <w:szCs w:val="24"/>
                <w:lang w:eastAsia="zh-CN"/>
              </w:rPr>
              <w:t>二</w:t>
            </w:r>
            <w:r>
              <w:rPr>
                <w:sz w:val="24"/>
                <w:szCs w:val="24"/>
              </w:rPr>
              <w:t>）9:00-12:00</w:t>
            </w:r>
          </w:p>
        </w:tc>
        <w:tc>
          <w:tcPr>
            <w:tcW w:w="2811" w:type="dxa"/>
            <w:vAlign w:val="center"/>
          </w:tcPr>
          <w:p w14:paraId="1E0A8900">
            <w:pPr>
              <w:spacing w:after="0" w:line="240" w:lineRule="auto"/>
              <w:rPr>
                <w:sz w:val="24"/>
                <w:szCs w:val="24"/>
              </w:rPr>
            </w:pPr>
            <w:r>
              <w:rPr>
                <w:rFonts w:hint="eastAsia"/>
                <w:sz w:val="24"/>
                <w:szCs w:val="24"/>
                <w:lang w:eastAsia="zh-CN"/>
              </w:rPr>
              <w:t>长宁校区</w:t>
            </w:r>
            <w:r>
              <w:rPr>
                <w:sz w:val="24"/>
                <w:szCs w:val="24"/>
                <w:lang w:eastAsia="zh-CN"/>
              </w:rPr>
              <w:t>东风楼127教室</w:t>
            </w:r>
          </w:p>
        </w:tc>
      </w:tr>
      <w:tr w14:paraId="46D20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691CCAEF">
            <w:pPr>
              <w:spacing w:after="0" w:line="240" w:lineRule="auto"/>
              <w:rPr>
                <w:sz w:val="24"/>
                <w:szCs w:val="24"/>
              </w:rPr>
            </w:pPr>
            <w:r>
              <w:rPr>
                <w:sz w:val="24"/>
                <w:szCs w:val="24"/>
              </w:rPr>
              <w:t>3</w:t>
            </w:r>
          </w:p>
        </w:tc>
        <w:tc>
          <w:tcPr>
            <w:tcW w:w="2830" w:type="dxa"/>
            <w:vAlign w:val="center"/>
          </w:tcPr>
          <w:p w14:paraId="10A221A5">
            <w:pPr>
              <w:spacing w:after="0" w:line="240" w:lineRule="auto"/>
              <w:rPr>
                <w:sz w:val="24"/>
                <w:szCs w:val="24"/>
              </w:rPr>
            </w:pPr>
            <w:r>
              <w:rPr>
                <w:sz w:val="24"/>
                <w:szCs w:val="24"/>
              </w:rPr>
              <w:t>Informed Consent and Duty to Warn</w:t>
            </w:r>
          </w:p>
        </w:tc>
        <w:tc>
          <w:tcPr>
            <w:tcW w:w="3544" w:type="dxa"/>
            <w:vAlign w:val="center"/>
          </w:tcPr>
          <w:p w14:paraId="36F18338">
            <w:pPr>
              <w:spacing w:after="0" w:line="240" w:lineRule="auto"/>
              <w:rPr>
                <w:sz w:val="24"/>
                <w:szCs w:val="24"/>
              </w:rPr>
            </w:pPr>
            <w:r>
              <w:rPr>
                <w:sz w:val="24"/>
                <w:szCs w:val="24"/>
              </w:rPr>
              <w:t>1</w:t>
            </w:r>
            <w:r>
              <w:rPr>
                <w:rFonts w:hint="eastAsia"/>
                <w:sz w:val="24"/>
                <w:szCs w:val="24"/>
                <w:lang w:eastAsia="zh-CN"/>
              </w:rPr>
              <w:t>2</w:t>
            </w:r>
            <w:r>
              <w:rPr>
                <w:sz w:val="24"/>
                <w:szCs w:val="24"/>
              </w:rPr>
              <w:t>月</w:t>
            </w:r>
            <w:r>
              <w:rPr>
                <w:rFonts w:hint="eastAsia"/>
                <w:sz w:val="24"/>
                <w:szCs w:val="24"/>
                <w:lang w:eastAsia="zh-CN"/>
              </w:rPr>
              <w:t>2</w:t>
            </w:r>
            <w:r>
              <w:rPr>
                <w:sz w:val="24"/>
                <w:szCs w:val="24"/>
              </w:rPr>
              <w:t>日（周</w:t>
            </w:r>
            <w:r>
              <w:rPr>
                <w:rFonts w:hint="eastAsia"/>
                <w:sz w:val="24"/>
                <w:szCs w:val="24"/>
                <w:lang w:eastAsia="zh-CN"/>
              </w:rPr>
              <w:t>三</w:t>
            </w:r>
            <w:r>
              <w:rPr>
                <w:sz w:val="24"/>
                <w:szCs w:val="24"/>
              </w:rPr>
              <w:t>）9:00-12:00</w:t>
            </w:r>
          </w:p>
        </w:tc>
        <w:tc>
          <w:tcPr>
            <w:tcW w:w="2811" w:type="dxa"/>
            <w:vAlign w:val="center"/>
          </w:tcPr>
          <w:p w14:paraId="6A43D1BC">
            <w:pPr>
              <w:spacing w:after="0" w:line="240" w:lineRule="auto"/>
              <w:rPr>
                <w:sz w:val="24"/>
                <w:szCs w:val="24"/>
              </w:rPr>
            </w:pPr>
            <w:r>
              <w:rPr>
                <w:rFonts w:hint="eastAsia"/>
                <w:sz w:val="24"/>
                <w:szCs w:val="24"/>
                <w:lang w:eastAsia="zh-CN"/>
              </w:rPr>
              <w:t>长宁校区</w:t>
            </w:r>
            <w:r>
              <w:rPr>
                <w:sz w:val="24"/>
                <w:szCs w:val="24"/>
                <w:lang w:eastAsia="zh-CN"/>
              </w:rPr>
              <w:t>东风楼127教室</w:t>
            </w:r>
          </w:p>
        </w:tc>
      </w:tr>
      <w:tr w14:paraId="44CBF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01E49ACF">
            <w:pPr>
              <w:spacing w:after="0" w:line="240" w:lineRule="auto"/>
              <w:rPr>
                <w:sz w:val="24"/>
                <w:szCs w:val="24"/>
              </w:rPr>
            </w:pPr>
            <w:r>
              <w:rPr>
                <w:sz w:val="24"/>
                <w:szCs w:val="24"/>
              </w:rPr>
              <w:t>4</w:t>
            </w:r>
          </w:p>
        </w:tc>
        <w:tc>
          <w:tcPr>
            <w:tcW w:w="2830" w:type="dxa"/>
            <w:vAlign w:val="center"/>
          </w:tcPr>
          <w:p w14:paraId="3A13B431">
            <w:pPr>
              <w:spacing w:after="0" w:line="240" w:lineRule="auto"/>
              <w:rPr>
                <w:sz w:val="24"/>
                <w:szCs w:val="24"/>
              </w:rPr>
            </w:pPr>
            <w:r>
              <w:rPr>
                <w:sz w:val="24"/>
                <w:szCs w:val="24"/>
              </w:rPr>
              <w:t>Breach of Duty of Care</w:t>
            </w:r>
          </w:p>
        </w:tc>
        <w:tc>
          <w:tcPr>
            <w:tcW w:w="3544" w:type="dxa"/>
            <w:vAlign w:val="center"/>
          </w:tcPr>
          <w:p w14:paraId="20F4901A">
            <w:pPr>
              <w:spacing w:after="0" w:line="240" w:lineRule="auto"/>
              <w:rPr>
                <w:sz w:val="24"/>
                <w:szCs w:val="24"/>
              </w:rPr>
            </w:pPr>
            <w:r>
              <w:rPr>
                <w:sz w:val="24"/>
                <w:szCs w:val="24"/>
              </w:rPr>
              <w:t>1</w:t>
            </w:r>
            <w:r>
              <w:rPr>
                <w:rFonts w:hint="eastAsia"/>
                <w:sz w:val="24"/>
                <w:szCs w:val="24"/>
                <w:lang w:eastAsia="zh-CN"/>
              </w:rPr>
              <w:t>2</w:t>
            </w:r>
            <w:r>
              <w:rPr>
                <w:sz w:val="24"/>
                <w:szCs w:val="24"/>
              </w:rPr>
              <w:t>月</w:t>
            </w:r>
            <w:r>
              <w:rPr>
                <w:rFonts w:hint="eastAsia"/>
                <w:sz w:val="24"/>
                <w:szCs w:val="24"/>
                <w:lang w:eastAsia="zh-CN"/>
              </w:rPr>
              <w:t>3</w:t>
            </w:r>
            <w:r>
              <w:rPr>
                <w:sz w:val="24"/>
                <w:szCs w:val="24"/>
              </w:rPr>
              <w:t>日（周</w:t>
            </w:r>
            <w:r>
              <w:rPr>
                <w:rFonts w:hint="eastAsia"/>
                <w:sz w:val="24"/>
                <w:szCs w:val="24"/>
                <w:lang w:eastAsia="zh-CN"/>
              </w:rPr>
              <w:t>四</w:t>
            </w:r>
            <w:r>
              <w:rPr>
                <w:sz w:val="24"/>
                <w:szCs w:val="24"/>
              </w:rPr>
              <w:t>）9:00-12:00</w:t>
            </w:r>
          </w:p>
        </w:tc>
        <w:tc>
          <w:tcPr>
            <w:tcW w:w="2811" w:type="dxa"/>
            <w:vAlign w:val="center"/>
          </w:tcPr>
          <w:p w14:paraId="6148E6D2">
            <w:pPr>
              <w:spacing w:after="0" w:line="240" w:lineRule="auto"/>
              <w:rPr>
                <w:sz w:val="24"/>
                <w:szCs w:val="24"/>
              </w:rPr>
            </w:pPr>
            <w:r>
              <w:rPr>
                <w:rFonts w:hint="eastAsia"/>
                <w:sz w:val="24"/>
                <w:szCs w:val="24"/>
                <w:lang w:eastAsia="zh-CN"/>
              </w:rPr>
              <w:t>长宁校区</w:t>
            </w:r>
            <w:r>
              <w:rPr>
                <w:sz w:val="24"/>
                <w:szCs w:val="24"/>
                <w:lang w:eastAsia="zh-CN"/>
              </w:rPr>
              <w:t>东风楼127教室</w:t>
            </w:r>
          </w:p>
        </w:tc>
      </w:tr>
      <w:tr w14:paraId="0588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606A153B">
            <w:pPr>
              <w:spacing w:after="0" w:line="240" w:lineRule="auto"/>
              <w:rPr>
                <w:sz w:val="24"/>
                <w:szCs w:val="24"/>
              </w:rPr>
            </w:pPr>
            <w:r>
              <w:rPr>
                <w:sz w:val="24"/>
                <w:szCs w:val="24"/>
              </w:rPr>
              <w:t>5</w:t>
            </w:r>
          </w:p>
        </w:tc>
        <w:tc>
          <w:tcPr>
            <w:tcW w:w="2830" w:type="dxa"/>
            <w:vAlign w:val="center"/>
          </w:tcPr>
          <w:p w14:paraId="60BD6288">
            <w:pPr>
              <w:spacing w:after="0" w:line="240" w:lineRule="auto"/>
              <w:rPr>
                <w:sz w:val="24"/>
                <w:szCs w:val="24"/>
              </w:rPr>
            </w:pPr>
            <w:r>
              <w:rPr>
                <w:sz w:val="24"/>
                <w:szCs w:val="24"/>
              </w:rPr>
              <w:t>Harm</w:t>
            </w:r>
          </w:p>
        </w:tc>
        <w:tc>
          <w:tcPr>
            <w:tcW w:w="3544" w:type="dxa"/>
            <w:vAlign w:val="center"/>
          </w:tcPr>
          <w:p w14:paraId="5C79DD09">
            <w:pPr>
              <w:spacing w:after="0" w:line="240" w:lineRule="auto"/>
              <w:rPr>
                <w:sz w:val="24"/>
                <w:szCs w:val="24"/>
              </w:rPr>
            </w:pPr>
            <w:r>
              <w:rPr>
                <w:sz w:val="24"/>
                <w:szCs w:val="24"/>
              </w:rPr>
              <w:t>1</w:t>
            </w:r>
            <w:r>
              <w:rPr>
                <w:rFonts w:hint="eastAsia"/>
                <w:sz w:val="24"/>
                <w:szCs w:val="24"/>
                <w:lang w:eastAsia="zh-CN"/>
              </w:rPr>
              <w:t>2</w:t>
            </w:r>
            <w:r>
              <w:rPr>
                <w:sz w:val="24"/>
                <w:szCs w:val="24"/>
              </w:rPr>
              <w:t>月</w:t>
            </w:r>
            <w:r>
              <w:rPr>
                <w:rFonts w:hint="eastAsia"/>
                <w:sz w:val="24"/>
                <w:szCs w:val="24"/>
                <w:lang w:eastAsia="zh-CN"/>
              </w:rPr>
              <w:t>4</w:t>
            </w:r>
            <w:r>
              <w:rPr>
                <w:sz w:val="24"/>
                <w:szCs w:val="24"/>
              </w:rPr>
              <w:t>日（周</w:t>
            </w:r>
            <w:r>
              <w:rPr>
                <w:rFonts w:hint="eastAsia"/>
                <w:sz w:val="24"/>
                <w:szCs w:val="24"/>
                <w:lang w:eastAsia="zh-CN"/>
              </w:rPr>
              <w:t>五</w:t>
            </w:r>
            <w:r>
              <w:rPr>
                <w:sz w:val="24"/>
                <w:szCs w:val="24"/>
              </w:rPr>
              <w:t>）9:00-12:00</w:t>
            </w:r>
          </w:p>
        </w:tc>
        <w:tc>
          <w:tcPr>
            <w:tcW w:w="2811" w:type="dxa"/>
            <w:vAlign w:val="center"/>
          </w:tcPr>
          <w:p w14:paraId="4A21961C">
            <w:pPr>
              <w:spacing w:after="0" w:line="240" w:lineRule="auto"/>
              <w:rPr>
                <w:sz w:val="24"/>
                <w:szCs w:val="24"/>
              </w:rPr>
            </w:pPr>
            <w:r>
              <w:rPr>
                <w:rFonts w:hint="eastAsia"/>
                <w:sz w:val="24"/>
                <w:szCs w:val="24"/>
                <w:lang w:eastAsia="zh-CN"/>
              </w:rPr>
              <w:t>长宁校区</w:t>
            </w:r>
            <w:r>
              <w:rPr>
                <w:sz w:val="24"/>
                <w:szCs w:val="24"/>
                <w:lang w:eastAsia="zh-CN"/>
              </w:rPr>
              <w:t>东风楼127教室</w:t>
            </w:r>
          </w:p>
        </w:tc>
      </w:tr>
      <w:tr w14:paraId="3D9B5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611532EB">
            <w:pPr>
              <w:spacing w:after="0" w:line="240" w:lineRule="auto"/>
              <w:rPr>
                <w:sz w:val="24"/>
                <w:szCs w:val="24"/>
              </w:rPr>
            </w:pPr>
            <w:r>
              <w:rPr>
                <w:sz w:val="24"/>
                <w:szCs w:val="24"/>
              </w:rPr>
              <w:t>6</w:t>
            </w:r>
          </w:p>
        </w:tc>
        <w:tc>
          <w:tcPr>
            <w:tcW w:w="2830" w:type="dxa"/>
            <w:vAlign w:val="center"/>
          </w:tcPr>
          <w:p w14:paraId="054F3E83">
            <w:pPr>
              <w:spacing w:after="0" w:line="240" w:lineRule="auto"/>
              <w:rPr>
                <w:sz w:val="24"/>
                <w:szCs w:val="24"/>
              </w:rPr>
            </w:pPr>
            <w:r>
              <w:rPr>
                <w:sz w:val="24"/>
                <w:szCs w:val="24"/>
              </w:rPr>
              <w:t>Causation</w:t>
            </w:r>
          </w:p>
        </w:tc>
        <w:tc>
          <w:tcPr>
            <w:tcW w:w="3544" w:type="dxa"/>
            <w:vAlign w:val="center"/>
          </w:tcPr>
          <w:p w14:paraId="4C1DD299">
            <w:pPr>
              <w:spacing w:after="0" w:line="240" w:lineRule="auto"/>
              <w:rPr>
                <w:sz w:val="24"/>
                <w:szCs w:val="24"/>
              </w:rPr>
            </w:pPr>
            <w:r>
              <w:rPr>
                <w:sz w:val="24"/>
                <w:szCs w:val="24"/>
              </w:rPr>
              <w:t>1</w:t>
            </w:r>
            <w:r>
              <w:rPr>
                <w:rFonts w:hint="eastAsia"/>
                <w:sz w:val="24"/>
                <w:szCs w:val="24"/>
                <w:lang w:eastAsia="zh-CN"/>
              </w:rPr>
              <w:t>2</w:t>
            </w:r>
            <w:r>
              <w:rPr>
                <w:sz w:val="24"/>
                <w:szCs w:val="24"/>
              </w:rPr>
              <w:t>月</w:t>
            </w:r>
            <w:r>
              <w:rPr>
                <w:rFonts w:hint="eastAsia"/>
                <w:sz w:val="24"/>
                <w:szCs w:val="24"/>
                <w:lang w:eastAsia="zh-CN"/>
              </w:rPr>
              <w:t>7</w:t>
            </w:r>
            <w:r>
              <w:rPr>
                <w:sz w:val="24"/>
                <w:szCs w:val="24"/>
              </w:rPr>
              <w:t>日（周</w:t>
            </w:r>
            <w:r>
              <w:rPr>
                <w:rFonts w:hint="eastAsia"/>
                <w:sz w:val="24"/>
                <w:szCs w:val="24"/>
                <w:lang w:eastAsia="zh-CN"/>
              </w:rPr>
              <w:t>一</w:t>
            </w:r>
            <w:r>
              <w:rPr>
                <w:sz w:val="24"/>
                <w:szCs w:val="24"/>
              </w:rPr>
              <w:t>）9:00-12:00</w:t>
            </w:r>
          </w:p>
        </w:tc>
        <w:tc>
          <w:tcPr>
            <w:tcW w:w="2811" w:type="dxa"/>
            <w:vAlign w:val="center"/>
          </w:tcPr>
          <w:p w14:paraId="2F251B76">
            <w:pPr>
              <w:spacing w:after="0" w:line="240" w:lineRule="auto"/>
              <w:rPr>
                <w:sz w:val="24"/>
                <w:szCs w:val="24"/>
              </w:rPr>
            </w:pPr>
            <w:r>
              <w:rPr>
                <w:rFonts w:hint="eastAsia"/>
                <w:sz w:val="24"/>
                <w:szCs w:val="24"/>
                <w:lang w:eastAsia="zh-CN"/>
              </w:rPr>
              <w:t>长宁校区</w:t>
            </w:r>
            <w:r>
              <w:rPr>
                <w:sz w:val="24"/>
                <w:szCs w:val="24"/>
                <w:lang w:eastAsia="zh-CN"/>
              </w:rPr>
              <w:t>东风楼127教室</w:t>
            </w:r>
          </w:p>
        </w:tc>
      </w:tr>
      <w:tr w14:paraId="6E921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0C3B6406">
            <w:pPr>
              <w:spacing w:after="0" w:line="240" w:lineRule="auto"/>
              <w:rPr>
                <w:sz w:val="24"/>
                <w:szCs w:val="24"/>
              </w:rPr>
            </w:pPr>
            <w:r>
              <w:rPr>
                <w:sz w:val="24"/>
                <w:szCs w:val="24"/>
              </w:rPr>
              <w:t>7</w:t>
            </w:r>
          </w:p>
        </w:tc>
        <w:tc>
          <w:tcPr>
            <w:tcW w:w="2830" w:type="dxa"/>
            <w:vAlign w:val="center"/>
          </w:tcPr>
          <w:p w14:paraId="5D78EDE1">
            <w:pPr>
              <w:spacing w:after="0" w:line="240" w:lineRule="auto"/>
              <w:rPr>
                <w:sz w:val="24"/>
                <w:szCs w:val="24"/>
              </w:rPr>
            </w:pPr>
            <w:r>
              <w:rPr>
                <w:sz w:val="24"/>
                <w:szCs w:val="24"/>
              </w:rPr>
              <w:t>Expert Evidence in Court Proceedings</w:t>
            </w:r>
          </w:p>
        </w:tc>
        <w:tc>
          <w:tcPr>
            <w:tcW w:w="3544" w:type="dxa"/>
            <w:vAlign w:val="center"/>
          </w:tcPr>
          <w:p w14:paraId="034AB752">
            <w:pPr>
              <w:spacing w:after="0" w:line="240" w:lineRule="auto"/>
              <w:rPr>
                <w:sz w:val="24"/>
                <w:szCs w:val="24"/>
              </w:rPr>
            </w:pPr>
            <w:r>
              <w:rPr>
                <w:sz w:val="24"/>
                <w:szCs w:val="24"/>
              </w:rPr>
              <w:t>1</w:t>
            </w:r>
            <w:r>
              <w:rPr>
                <w:rFonts w:hint="eastAsia"/>
                <w:sz w:val="24"/>
                <w:szCs w:val="24"/>
                <w:lang w:eastAsia="zh-CN"/>
              </w:rPr>
              <w:t>2</w:t>
            </w:r>
            <w:r>
              <w:rPr>
                <w:sz w:val="24"/>
                <w:szCs w:val="24"/>
              </w:rPr>
              <w:t>月</w:t>
            </w:r>
            <w:r>
              <w:rPr>
                <w:rFonts w:hint="eastAsia"/>
                <w:sz w:val="24"/>
                <w:szCs w:val="24"/>
                <w:lang w:eastAsia="zh-CN"/>
              </w:rPr>
              <w:t>8</w:t>
            </w:r>
            <w:r>
              <w:rPr>
                <w:sz w:val="24"/>
                <w:szCs w:val="24"/>
              </w:rPr>
              <w:t>日（周</w:t>
            </w:r>
            <w:r>
              <w:rPr>
                <w:rFonts w:hint="eastAsia"/>
                <w:sz w:val="24"/>
                <w:szCs w:val="24"/>
                <w:lang w:eastAsia="zh-CN"/>
              </w:rPr>
              <w:t>二</w:t>
            </w:r>
            <w:r>
              <w:rPr>
                <w:sz w:val="24"/>
                <w:szCs w:val="24"/>
              </w:rPr>
              <w:t>）9:00-12:00</w:t>
            </w:r>
          </w:p>
        </w:tc>
        <w:tc>
          <w:tcPr>
            <w:tcW w:w="2811" w:type="dxa"/>
            <w:vAlign w:val="center"/>
          </w:tcPr>
          <w:p w14:paraId="64676B73">
            <w:pPr>
              <w:spacing w:after="0" w:line="240" w:lineRule="auto"/>
              <w:rPr>
                <w:sz w:val="24"/>
                <w:szCs w:val="24"/>
              </w:rPr>
            </w:pPr>
            <w:r>
              <w:rPr>
                <w:rFonts w:hint="eastAsia"/>
                <w:sz w:val="24"/>
                <w:szCs w:val="24"/>
                <w:lang w:eastAsia="zh-CN"/>
              </w:rPr>
              <w:t>长宁校区</w:t>
            </w:r>
            <w:r>
              <w:rPr>
                <w:sz w:val="24"/>
                <w:szCs w:val="24"/>
                <w:lang w:eastAsia="zh-CN"/>
              </w:rPr>
              <w:t>东风楼127教室</w:t>
            </w:r>
          </w:p>
        </w:tc>
      </w:tr>
      <w:tr w14:paraId="6491A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748F89F6">
            <w:pPr>
              <w:spacing w:after="0" w:line="240" w:lineRule="auto"/>
              <w:rPr>
                <w:sz w:val="24"/>
                <w:szCs w:val="24"/>
              </w:rPr>
            </w:pPr>
            <w:r>
              <w:rPr>
                <w:sz w:val="24"/>
                <w:szCs w:val="24"/>
              </w:rPr>
              <w:t>8</w:t>
            </w:r>
          </w:p>
        </w:tc>
        <w:tc>
          <w:tcPr>
            <w:tcW w:w="2830" w:type="dxa"/>
            <w:vAlign w:val="center"/>
          </w:tcPr>
          <w:p w14:paraId="41AC9AA1">
            <w:pPr>
              <w:spacing w:after="0" w:line="240" w:lineRule="auto"/>
              <w:rPr>
                <w:sz w:val="24"/>
                <w:szCs w:val="24"/>
              </w:rPr>
            </w:pPr>
            <w:r>
              <w:rPr>
                <w:sz w:val="24"/>
                <w:szCs w:val="24"/>
              </w:rPr>
              <w:t>Causation and Liability</w:t>
            </w:r>
          </w:p>
        </w:tc>
        <w:tc>
          <w:tcPr>
            <w:tcW w:w="3544" w:type="dxa"/>
            <w:vAlign w:val="center"/>
          </w:tcPr>
          <w:p w14:paraId="15B4DA7F">
            <w:pPr>
              <w:spacing w:after="0" w:line="240" w:lineRule="auto"/>
              <w:rPr>
                <w:sz w:val="24"/>
                <w:szCs w:val="24"/>
              </w:rPr>
            </w:pPr>
            <w:r>
              <w:rPr>
                <w:sz w:val="24"/>
                <w:szCs w:val="24"/>
              </w:rPr>
              <w:t>1</w:t>
            </w:r>
            <w:r>
              <w:rPr>
                <w:rFonts w:hint="eastAsia"/>
                <w:sz w:val="24"/>
                <w:szCs w:val="24"/>
                <w:lang w:eastAsia="zh-CN"/>
              </w:rPr>
              <w:t>2</w:t>
            </w:r>
            <w:r>
              <w:rPr>
                <w:sz w:val="24"/>
                <w:szCs w:val="24"/>
              </w:rPr>
              <w:t>月</w:t>
            </w:r>
            <w:r>
              <w:rPr>
                <w:rFonts w:hint="eastAsia"/>
                <w:sz w:val="24"/>
                <w:szCs w:val="24"/>
                <w:lang w:eastAsia="zh-CN"/>
              </w:rPr>
              <w:t>9</w:t>
            </w:r>
            <w:r>
              <w:rPr>
                <w:sz w:val="24"/>
                <w:szCs w:val="24"/>
              </w:rPr>
              <w:t>日（周</w:t>
            </w:r>
            <w:r>
              <w:rPr>
                <w:rFonts w:hint="eastAsia"/>
                <w:sz w:val="24"/>
                <w:szCs w:val="24"/>
                <w:lang w:eastAsia="zh-CN"/>
              </w:rPr>
              <w:t>三</w:t>
            </w:r>
            <w:r>
              <w:rPr>
                <w:sz w:val="24"/>
                <w:szCs w:val="24"/>
              </w:rPr>
              <w:t>）9:00-12:00</w:t>
            </w:r>
          </w:p>
        </w:tc>
        <w:tc>
          <w:tcPr>
            <w:tcW w:w="2811" w:type="dxa"/>
            <w:vAlign w:val="center"/>
          </w:tcPr>
          <w:p w14:paraId="562F02F7">
            <w:pPr>
              <w:spacing w:after="0" w:line="240" w:lineRule="auto"/>
              <w:rPr>
                <w:sz w:val="24"/>
                <w:szCs w:val="24"/>
              </w:rPr>
            </w:pPr>
            <w:r>
              <w:rPr>
                <w:rFonts w:hint="eastAsia"/>
                <w:sz w:val="24"/>
                <w:szCs w:val="24"/>
                <w:lang w:eastAsia="zh-CN"/>
              </w:rPr>
              <w:t>长宁校区</w:t>
            </w:r>
            <w:r>
              <w:rPr>
                <w:sz w:val="24"/>
                <w:szCs w:val="24"/>
                <w:lang w:eastAsia="zh-CN"/>
              </w:rPr>
              <w:t>东风楼127教室</w:t>
            </w:r>
          </w:p>
        </w:tc>
      </w:tr>
    </w:tbl>
    <w:p w14:paraId="43A0E8FC">
      <w:pPr>
        <w:rPr>
          <w:b/>
          <w:sz w:val="24"/>
          <w:szCs w:val="24"/>
          <w:lang w:eastAsia="zh-CN"/>
        </w:rPr>
      </w:pPr>
      <w:r>
        <w:rPr>
          <w:b/>
          <w:sz w:val="24"/>
          <w:szCs w:val="24"/>
        </w:rPr>
        <w:t xml:space="preserve">课程考核 </w:t>
      </w:r>
      <w:r>
        <w:rPr>
          <w:rFonts w:hint="eastAsia"/>
          <w:b/>
          <w:sz w:val="24"/>
          <w:szCs w:val="24"/>
          <w:lang w:eastAsia="zh-CN"/>
        </w:rPr>
        <w:t>：小论文</w:t>
      </w:r>
    </w:p>
    <w:p w14:paraId="0F16D175">
      <w:pPr>
        <w:rPr>
          <w:b/>
          <w:lang w:eastAsia="zh-CN"/>
        </w:rPr>
      </w:pPr>
    </w:p>
    <w:p w14:paraId="796E3B09">
      <w:pPr>
        <w:spacing w:before="100" w:beforeAutospacing="1" w:after="100" w:afterAutospacing="1"/>
        <w:jc w:val="both"/>
        <w:rPr>
          <w:rFonts w:hint="eastAsia" w:hAnsi="宋体"/>
          <w:b/>
          <w:color w:val="7030A0"/>
          <w:sz w:val="28"/>
          <w:szCs w:val="28"/>
        </w:rPr>
      </w:pPr>
      <w:r>
        <w:rPr>
          <w:rFonts w:hint="eastAsia" w:hAnsi="宋体"/>
          <w:b/>
          <w:color w:val="7030A0"/>
          <w:sz w:val="28"/>
          <w:szCs w:val="28"/>
        </w:rPr>
        <w:t>选课与课程</w:t>
      </w:r>
      <w:r>
        <w:rPr>
          <w:rFonts w:hAnsi="宋体"/>
          <w:b/>
          <w:color w:val="7030A0"/>
          <w:sz w:val="28"/>
          <w:szCs w:val="28"/>
        </w:rPr>
        <w:t>联系方式</w:t>
      </w:r>
    </w:p>
    <w:p w14:paraId="6B13813D">
      <w:pPr>
        <w:spacing w:before="100" w:beforeAutospacing="1" w:after="100" w:afterAutospacing="1"/>
        <w:jc w:val="both"/>
        <w:rPr>
          <w:rFonts w:ascii="仿宋" w:hAnsi="仿宋" w:eastAsia="仿宋"/>
          <w:bCs/>
          <w:sz w:val="24"/>
          <w:szCs w:val="24"/>
          <w:lang w:eastAsia="zh-CN"/>
        </w:rPr>
      </w:pPr>
      <w:r>
        <w:rPr>
          <w:rStyle w:val="133"/>
          <w:rFonts w:hint="eastAsia" w:ascii="仿宋" w:hAnsi="仿宋" w:eastAsia="仿宋"/>
          <w:b w:val="0"/>
          <w:sz w:val="24"/>
          <w:szCs w:val="24"/>
          <w:lang w:eastAsia="zh-CN"/>
        </w:rPr>
        <w:t>请登录</w:t>
      </w:r>
      <w:r>
        <w:rPr>
          <w:rStyle w:val="133"/>
          <w:rFonts w:hint="eastAsia" w:ascii="仿宋" w:hAnsi="仿宋" w:eastAsia="仿宋"/>
          <w:b w:val="0"/>
          <w:sz w:val="24"/>
          <w:szCs w:val="24"/>
          <w:lang w:eastAsia="zh"/>
        </w:rPr>
        <w:t>研究生</w:t>
      </w:r>
      <w:r>
        <w:rPr>
          <w:rStyle w:val="133"/>
          <w:rFonts w:hint="eastAsia" w:ascii="仿宋" w:hAnsi="仿宋" w:eastAsia="仿宋"/>
          <w:b w:val="0"/>
          <w:sz w:val="24"/>
          <w:szCs w:val="24"/>
          <w:lang w:eastAsia="zh-CN"/>
        </w:rPr>
        <w:t>生系统进行选课。本课程欢迎感兴趣的</w:t>
      </w:r>
      <w:r>
        <w:rPr>
          <w:rStyle w:val="133"/>
          <w:rFonts w:hint="eastAsia" w:ascii="仿宋" w:hAnsi="仿宋" w:eastAsia="仿宋"/>
          <w:b w:val="0"/>
          <w:sz w:val="24"/>
          <w:szCs w:val="24"/>
          <w:lang w:eastAsia="zh"/>
        </w:rPr>
        <w:t>本科</w:t>
      </w:r>
      <w:r>
        <w:rPr>
          <w:rStyle w:val="133"/>
          <w:rFonts w:hint="eastAsia" w:ascii="仿宋" w:hAnsi="仿宋" w:eastAsia="仿宋"/>
          <w:b w:val="0"/>
          <w:sz w:val="24"/>
          <w:szCs w:val="24"/>
          <w:lang w:eastAsia="zh-CN"/>
        </w:rPr>
        <w:t>生参与旁听！</w:t>
      </w:r>
    </w:p>
    <w:sectPr>
      <w:pgSz w:w="12240" w:h="15840"/>
      <w:pgMar w:top="1020" w:right="1134" w:bottom="1020" w:left="113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7D7C"/>
    <w:rsid w:val="00034616"/>
    <w:rsid w:val="0006063C"/>
    <w:rsid w:val="000D1027"/>
    <w:rsid w:val="0015074B"/>
    <w:rsid w:val="0029639D"/>
    <w:rsid w:val="00326F90"/>
    <w:rsid w:val="003446B4"/>
    <w:rsid w:val="00964DA8"/>
    <w:rsid w:val="00AA1D8D"/>
    <w:rsid w:val="00AE5206"/>
    <w:rsid w:val="00B47730"/>
    <w:rsid w:val="00CB0664"/>
    <w:rsid w:val="00DB6075"/>
    <w:rsid w:val="00FC693F"/>
    <w:rsid w:val="00FE4C22"/>
    <w:rsid w:val="53663D0F"/>
    <w:rsid w:val="53A14107"/>
    <w:rsid w:val="6E3A76AB"/>
    <w:rsid w:val="6E7B7E2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qFormat/>
    <w:uiPriority w:val="99"/>
  </w:style>
  <w:style w:type="character" w:customStyle="1" w:styleId="136">
    <w:name w:val="页脚 字符"/>
    <w:basedOn w:val="132"/>
    <w:link w:val="24"/>
    <w:qFormat/>
    <w:uiPriority w:val="99"/>
  </w:style>
  <w:style w:type="paragraph" w:styleId="137">
    <w:name w:val="No Spacing"/>
    <w:qFormat/>
    <w:uiPriority w:val="1"/>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qFormat/>
    <w:uiPriority w:val="99"/>
  </w:style>
  <w:style w:type="character" w:customStyle="1" w:styleId="145">
    <w:name w:val="正文文本 2 字符"/>
    <w:basedOn w:val="132"/>
    <w:link w:val="28"/>
    <w:qFormat/>
    <w:uiPriority w:val="99"/>
  </w:style>
  <w:style w:type="character" w:customStyle="1" w:styleId="146">
    <w:name w:val="正文文本 3 字符"/>
    <w:basedOn w:val="132"/>
    <w:link w:val="17"/>
    <w:qFormat/>
    <w:uiPriority w:val="99"/>
    <w:rPr>
      <w:sz w:val="16"/>
      <w:szCs w:val="16"/>
    </w:rPr>
  </w:style>
  <w:style w:type="character" w:customStyle="1" w:styleId="147">
    <w:name w:val="宏文本 字符"/>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qFormat/>
    <w:uiPriority w:val="29"/>
    <w:rPr>
      <w:i/>
      <w:iCs/>
      <w:color w:val="000000" w:themeColor="text1"/>
      <w14:textFill>
        <w14:solidFill>
          <w14:schemeClr w14:val="tx1"/>
        </w14:solidFill>
      </w14:textFill>
    </w:rPr>
  </w:style>
  <w:style w:type="character" w:customStyle="1" w:styleId="150">
    <w:name w:val="标题 4 字符"/>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qFormat/>
    <w:uiPriority w:val="30"/>
    <w:rPr>
      <w:b/>
      <w:bCs/>
      <w:i/>
      <w:iCs/>
      <w:color w:val="4F81BD" w:themeColor="accent1"/>
      <w14:textFill>
        <w14:solidFill>
          <w14:schemeClr w14:val="accent1"/>
        </w14:solidFill>
      </w14:textFill>
    </w:rPr>
  </w:style>
  <w:style w:type="character" w:customStyle="1" w:styleId="158">
    <w:name w:val="不明显强调1"/>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明显强调1"/>
    <w:basedOn w:val="132"/>
    <w:qFormat/>
    <w:uiPriority w:val="21"/>
    <w:rPr>
      <w:b/>
      <w:bCs/>
      <w:i/>
      <w:iCs/>
      <w:color w:val="4F81BD" w:themeColor="accent1"/>
      <w14:textFill>
        <w14:solidFill>
          <w14:schemeClr w14:val="accent1"/>
        </w14:solidFill>
      </w14:textFill>
    </w:rPr>
  </w:style>
  <w:style w:type="character" w:customStyle="1" w:styleId="160">
    <w:name w:val="不明显参考1"/>
    <w:basedOn w:val="132"/>
    <w:qFormat/>
    <w:uiPriority w:val="31"/>
    <w:rPr>
      <w:smallCaps/>
      <w:color w:val="C0504D" w:themeColor="accent2"/>
      <w:u w:val="single"/>
      <w14:textFill>
        <w14:solidFill>
          <w14:schemeClr w14:val="accent2"/>
        </w14:solidFill>
      </w14:textFill>
    </w:rPr>
  </w:style>
  <w:style w:type="character" w:customStyle="1" w:styleId="161">
    <w:name w:val="明显参考1"/>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书籍标题1"/>
    <w:basedOn w:val="132"/>
    <w:qFormat/>
    <w:uiPriority w:val="33"/>
    <w:rPr>
      <w:b/>
      <w:bCs/>
      <w:smallCaps/>
      <w:spacing w:val="5"/>
    </w:rPr>
  </w:style>
  <w:style w:type="paragraph" w:customStyle="1" w:styleId="163">
    <w:name w:val="TOC 标题1"/>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3</Pages>
  <Words>1176</Words>
  <Characters>3010</Characters>
  <Lines>79</Lines>
  <Paragraphs>65</Paragraphs>
  <TotalTime>21</TotalTime>
  <ScaleCrop>false</ScaleCrop>
  <LinksUpToDate>false</LinksUpToDate>
  <CharactersWithSpaces>3345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2026-10-15T00:54:00Z</dcterms:created>
  <dc:creator>python-docx</dc:creator>
  <dc:description>generated by python-docx</dc:description>
  <cp:lastModifiedBy>张震宇</cp:lastModifiedBy>
  <dcterms:modified xsi:type="dcterms:W3CDTF">2026-10-15T01:30:23Z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eyJoZGlkIjoiMjU5MzQ2N2Y5MWY1MGFkMmU3N2M3OGM1NjEwNjAyMjciLCJ1c2VySWQiOiIyNzE1ODA5MzYifQ==</vt:lpwstr>
  </property>
  <property fmtid="{D5CDD505-2E9C-101B-9397-08002B2CF9AE}" pid="3" name="KSOProductBuildVer">
    <vt:lpwstr>2052-12.1.0.24034</vt:lpwstr>
  </property>
  <property fmtid="{D5CDD505-2E9C-101B-9397-08002B2CF9AE}" pid="4" name="ICV">
    <vt:lpwstr>CF40DC89C81041148A6E929FFF7BCDB8_13</vt:lpwstr>
  </property>
</Properties>
</file>