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9106" w14:textId="69AB8DBB" w:rsidR="002534B9" w:rsidRPr="00E84512" w:rsidRDefault="00393E23" w:rsidP="00E84512">
      <w:pPr>
        <w:spacing w:after="0" w:line="240" w:lineRule="auto"/>
        <w:jc w:val="center"/>
        <w:rPr>
          <w:rFonts w:hAnsi="宋体"/>
          <w:b/>
          <w:bCs/>
          <w:sz w:val="32"/>
          <w:szCs w:val="32"/>
        </w:rPr>
      </w:pPr>
      <w:r w:rsidRPr="00E84512">
        <w:rPr>
          <w:rFonts w:hAnsi="宋体" w:hint="eastAsia"/>
          <w:b/>
          <w:bCs/>
          <w:sz w:val="32"/>
          <w:szCs w:val="32"/>
        </w:rPr>
        <w:t>医疗</w:t>
      </w:r>
      <w:r w:rsidR="00CE11BC" w:rsidRPr="00E84512">
        <w:rPr>
          <w:rFonts w:hAnsi="宋体" w:hint="eastAsia"/>
          <w:b/>
          <w:bCs/>
          <w:sz w:val="32"/>
          <w:szCs w:val="32"/>
        </w:rPr>
        <w:t>侵权责任</w:t>
      </w:r>
    </w:p>
    <w:p w14:paraId="52019107" w14:textId="77777777" w:rsidR="002534B9" w:rsidRDefault="00393E23" w:rsidP="00E84512">
      <w:pPr>
        <w:spacing w:before="100" w:beforeAutospacing="1" w:after="100" w:afterAutospacing="1" w:line="240" w:lineRule="auto"/>
        <w:jc w:val="center"/>
        <w:rPr>
          <w:rFonts w:asciiTheme="minorHAnsi" w:hAnsiTheme="minorHAnsi" w:cstheme="minorHAnsi"/>
          <w:b/>
          <w:bCs/>
          <w:sz w:val="28"/>
          <w:szCs w:val="28"/>
        </w:rPr>
      </w:pPr>
      <w:r>
        <w:rPr>
          <w:rFonts w:asciiTheme="minorHAnsi" w:hAnsiTheme="minorHAnsi" w:cstheme="minorHAnsi" w:hint="eastAsia"/>
          <w:b/>
          <w:bCs/>
          <w:sz w:val="28"/>
          <w:szCs w:val="28"/>
        </w:rPr>
        <w:t xml:space="preserve"> Medical Negligence</w:t>
      </w:r>
    </w:p>
    <w:p w14:paraId="52019108" w14:textId="77777777" w:rsidR="002534B9" w:rsidRDefault="00393E23">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上课时间与地点</w:t>
      </w:r>
    </w:p>
    <w:p w14:paraId="52019109" w14:textId="5751788B" w:rsidR="002534B9" w:rsidRDefault="00E84512">
      <w:pPr>
        <w:rPr>
          <w:rFonts w:hAnsi="宋体"/>
          <w:color w:val="000000"/>
          <w:sz w:val="24"/>
          <w:szCs w:val="24"/>
        </w:rPr>
      </w:pPr>
      <w:r w:rsidRPr="00E84512">
        <w:rPr>
          <w:rFonts w:hAnsi="宋体" w:hint="eastAsia"/>
          <w:color w:val="000000"/>
          <w:sz w:val="24"/>
          <w:szCs w:val="24"/>
        </w:rPr>
        <w:t>时间：</w:t>
      </w:r>
      <w:r w:rsidRPr="00E84512">
        <w:rPr>
          <w:rFonts w:hAnsi="宋体" w:hint="eastAsia"/>
          <w:color w:val="000000"/>
          <w:sz w:val="24"/>
          <w:szCs w:val="24"/>
        </w:rPr>
        <w:t>2024</w:t>
      </w:r>
      <w:r w:rsidRPr="00E84512">
        <w:rPr>
          <w:rFonts w:hAnsi="宋体" w:hint="eastAsia"/>
          <w:color w:val="000000"/>
          <w:sz w:val="24"/>
          <w:szCs w:val="24"/>
        </w:rPr>
        <w:t>年</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18</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19</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20</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23</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24</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25</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26</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27</w:t>
      </w:r>
      <w:r>
        <w:rPr>
          <w:rFonts w:hAnsi="宋体" w:hint="eastAsia"/>
          <w:color w:val="000000"/>
          <w:sz w:val="24"/>
          <w:szCs w:val="24"/>
        </w:rPr>
        <w:t>日</w:t>
      </w:r>
      <w:r w:rsidRPr="00E84512">
        <w:rPr>
          <w:rFonts w:hAnsi="宋体" w:hint="eastAsia"/>
          <w:color w:val="000000"/>
          <w:sz w:val="24"/>
          <w:szCs w:val="24"/>
        </w:rPr>
        <w:t>8:30-12:30</w:t>
      </w:r>
    </w:p>
    <w:p w14:paraId="5201910A" w14:textId="77777777" w:rsidR="002534B9" w:rsidRDefault="00393E23">
      <w:pPr>
        <w:spacing w:before="100" w:beforeAutospacing="1" w:after="100" w:afterAutospacing="1"/>
        <w:rPr>
          <w:rFonts w:hAnsi="宋体"/>
          <w:b/>
          <w:bCs/>
          <w:color w:val="000080"/>
          <w:sz w:val="24"/>
          <w:szCs w:val="24"/>
        </w:rPr>
      </w:pPr>
      <w:r>
        <w:rPr>
          <w:rFonts w:hAnsi="宋体" w:hint="eastAsia"/>
          <w:color w:val="000000"/>
          <w:sz w:val="24"/>
          <w:szCs w:val="24"/>
        </w:rPr>
        <w:t>地点：长宁校区</w:t>
      </w:r>
    </w:p>
    <w:p w14:paraId="5201910B" w14:textId="77777777" w:rsidR="002534B9" w:rsidRDefault="002534B9">
      <w:pPr>
        <w:spacing w:before="100" w:beforeAutospacing="1" w:after="100" w:afterAutospacing="1"/>
        <w:rPr>
          <w:rFonts w:hAnsi="宋体"/>
          <w:b/>
          <w:bCs/>
          <w:color w:val="000080"/>
          <w:sz w:val="24"/>
          <w:szCs w:val="24"/>
        </w:rPr>
      </w:pPr>
    </w:p>
    <w:p w14:paraId="5201910C" w14:textId="77777777" w:rsidR="002534B9" w:rsidRDefault="00393E23">
      <w:pPr>
        <w:spacing w:before="100" w:beforeAutospacing="1" w:after="100" w:afterAutospacing="1"/>
        <w:rPr>
          <w:rFonts w:hAnsi="宋体"/>
          <w:b/>
          <w:bCs/>
          <w:color w:val="000080"/>
          <w:sz w:val="24"/>
          <w:szCs w:val="24"/>
        </w:rPr>
      </w:pPr>
      <w:r>
        <w:rPr>
          <w:rFonts w:hAnsi="宋体" w:hint="eastAsia"/>
          <w:b/>
          <w:bCs/>
          <w:color w:val="000080"/>
          <w:sz w:val="24"/>
          <w:szCs w:val="24"/>
        </w:rPr>
        <w:t>课程主讲人简介</w:t>
      </w:r>
    </w:p>
    <w:p w14:paraId="5201910D" w14:textId="42FAFBD3" w:rsidR="002534B9" w:rsidRDefault="00393E23">
      <w:pPr>
        <w:spacing w:before="100" w:beforeAutospacing="1" w:after="100" w:afterAutospacing="1"/>
        <w:rPr>
          <w:rFonts w:asciiTheme="minorHAnsi" w:hAnsiTheme="minorHAnsi" w:cstheme="minorHAnsi"/>
          <w:color w:val="000000"/>
          <w:sz w:val="18"/>
          <w:szCs w:val="18"/>
        </w:rPr>
      </w:pPr>
      <w:bookmarkStart w:id="0" w:name="OLE_LINK3"/>
      <w:bookmarkStart w:id="1" w:name="OLE_LINK5"/>
      <w:bookmarkStart w:id="2" w:name="OLE_LINK4"/>
      <w:bookmarkStart w:id="3" w:name="OLE_LINK2"/>
      <w:bookmarkStart w:id="4" w:name="OLE_LINK1"/>
      <w:r w:rsidRPr="00393E23">
        <w:rPr>
          <w:rFonts w:asciiTheme="minorHAnsi" w:hAnsiTheme="minorHAnsi" w:cstheme="minorHAnsi"/>
          <w:color w:val="000000"/>
          <w:sz w:val="18"/>
          <w:szCs w:val="18"/>
        </w:rPr>
        <w:t xml:space="preserve">    </w:t>
      </w:r>
      <w:r>
        <w:rPr>
          <w:rFonts w:asciiTheme="minorHAnsi" w:hAnsiTheme="minorHAnsi" w:cstheme="minorHAnsi"/>
          <w:color w:val="000000"/>
          <w:sz w:val="18"/>
          <w:szCs w:val="18"/>
        </w:rPr>
        <w:t>Roy Gary Beran</w:t>
      </w:r>
      <w:bookmarkEnd w:id="0"/>
      <w:r w:rsidRPr="00393E23">
        <w:rPr>
          <w:rFonts w:asciiTheme="minorHAnsi" w:hAnsiTheme="minorHAnsi" w:cstheme="minorHAnsi" w:hint="eastAsia"/>
          <w:color w:val="000000"/>
          <w:sz w:val="18"/>
          <w:szCs w:val="18"/>
        </w:rPr>
        <w:t>接受过神经科顾问和认证睡眠医师的培训，此外还在法医学、军事医学和航空医学领域工作。他在澳大利亚卫生从业者管理局注册为神经科、公共卫生和睡眠医学的专家，并曾担任民航安全局的指定医学检查员、新南威尔士州保险监管局的争议解决医学评估员以及新南威尔士州工伤赔偿委员会的评估员。他是新南威尔士大学的联合医学教授；昆士兰格里菲斯大学医学院教授。他是南方医科大学国际健康法学研究所的首位访问教授。</w:t>
      </w:r>
      <w:r w:rsidRPr="00393E23">
        <w:rPr>
          <w:rFonts w:asciiTheme="minorHAnsi" w:hAnsiTheme="minorHAnsi" w:cstheme="minorHAnsi" w:hint="eastAsia"/>
          <w:color w:val="000000"/>
          <w:sz w:val="18"/>
          <w:szCs w:val="18"/>
        </w:rPr>
        <w:t>2022</w:t>
      </w:r>
      <w:r w:rsidRPr="00393E23">
        <w:rPr>
          <w:rFonts w:asciiTheme="minorHAnsi" w:hAnsiTheme="minorHAnsi" w:cstheme="minorHAnsi" w:hint="eastAsia"/>
          <w:color w:val="000000"/>
          <w:sz w:val="18"/>
          <w:szCs w:val="18"/>
        </w:rPr>
        <w:t>年，他还被任命为西悉尼大学医学院的联合教授。</w:t>
      </w:r>
    </w:p>
    <w:p w14:paraId="32D496FB" w14:textId="7F39AEA5" w:rsidR="00393E23" w:rsidRDefault="00393E23">
      <w:pPr>
        <w:spacing w:before="100" w:beforeAutospacing="1" w:after="100" w:afterAutospacing="1"/>
        <w:rPr>
          <w:rFonts w:asciiTheme="minorHAnsi" w:hAnsiTheme="minorHAnsi" w:cstheme="minorHAnsi"/>
          <w:color w:val="000000"/>
          <w:sz w:val="18"/>
          <w:szCs w:val="18"/>
        </w:rPr>
      </w:pPr>
      <w:r w:rsidRPr="00393E23">
        <w:rPr>
          <w:rFonts w:asciiTheme="minorHAnsi" w:hAnsiTheme="minorHAnsi" w:cstheme="minorHAnsi"/>
          <w:color w:val="000000"/>
          <w:sz w:val="18"/>
          <w:szCs w:val="18"/>
        </w:rPr>
        <w:t xml:space="preserve">    </w:t>
      </w:r>
      <w:r w:rsidRPr="00393E23">
        <w:rPr>
          <w:rFonts w:asciiTheme="minorHAnsi" w:hAnsiTheme="minorHAnsi" w:cstheme="minorHAnsi" w:hint="eastAsia"/>
          <w:color w:val="000000"/>
          <w:sz w:val="18"/>
          <w:szCs w:val="18"/>
        </w:rPr>
        <w:t>他是澳大利亚法律医学学院（</w:t>
      </w:r>
      <w:r w:rsidRPr="00393E23">
        <w:rPr>
          <w:rFonts w:asciiTheme="minorHAnsi" w:hAnsiTheme="minorHAnsi" w:cstheme="minorHAnsi" w:hint="eastAsia"/>
          <w:color w:val="000000"/>
          <w:sz w:val="18"/>
          <w:szCs w:val="18"/>
        </w:rPr>
        <w:t>ACLM</w:t>
      </w:r>
      <w:r w:rsidRPr="00393E23">
        <w:rPr>
          <w:rFonts w:asciiTheme="minorHAnsi" w:hAnsiTheme="minorHAnsi" w:cstheme="minorHAnsi" w:hint="eastAsia"/>
          <w:color w:val="000000"/>
          <w:sz w:val="18"/>
          <w:szCs w:val="18"/>
        </w:rPr>
        <w:t>）的创始</w:t>
      </w:r>
      <w:r w:rsidR="00670266">
        <w:rPr>
          <w:rFonts w:asciiTheme="minorHAnsi" w:hAnsiTheme="minorHAnsi" w:cstheme="minorHAnsi" w:hint="eastAsia"/>
          <w:color w:val="000000"/>
          <w:sz w:val="18"/>
          <w:szCs w:val="18"/>
        </w:rPr>
        <w:t>人</w:t>
      </w:r>
      <w:r w:rsidRPr="00393E23">
        <w:rPr>
          <w:rFonts w:asciiTheme="minorHAnsi" w:hAnsiTheme="minorHAnsi" w:cstheme="minorHAnsi" w:hint="eastAsia"/>
          <w:color w:val="000000"/>
          <w:sz w:val="18"/>
          <w:szCs w:val="18"/>
        </w:rPr>
        <w:t>，曾担任该学院的主席，</w:t>
      </w:r>
      <w:r w:rsidRPr="00393E23">
        <w:rPr>
          <w:rFonts w:asciiTheme="minorHAnsi" w:hAnsiTheme="minorHAnsi" w:cstheme="minorHAnsi" w:hint="eastAsia"/>
          <w:color w:val="000000"/>
          <w:sz w:val="18"/>
          <w:szCs w:val="18"/>
        </w:rPr>
        <w:t>2011</w:t>
      </w:r>
      <w:r w:rsidRPr="00393E23">
        <w:rPr>
          <w:rFonts w:asciiTheme="minorHAnsi" w:hAnsiTheme="minorHAnsi" w:cstheme="minorHAnsi" w:hint="eastAsia"/>
          <w:color w:val="000000"/>
          <w:sz w:val="18"/>
          <w:szCs w:val="18"/>
        </w:rPr>
        <w:t>年卸任，但仍留任委员会，并被授予该学院的第二个荣誉终身院士称号。</w:t>
      </w:r>
      <w:r w:rsidRPr="00393E23">
        <w:rPr>
          <w:rFonts w:asciiTheme="minorHAnsi" w:hAnsiTheme="minorHAnsi" w:cstheme="minorHAnsi" w:hint="eastAsia"/>
          <w:color w:val="000000"/>
          <w:sz w:val="18"/>
          <w:szCs w:val="18"/>
        </w:rPr>
        <w:t>2019</w:t>
      </w:r>
      <w:r w:rsidRPr="00393E23">
        <w:rPr>
          <w:rFonts w:asciiTheme="minorHAnsi" w:hAnsiTheme="minorHAnsi" w:cstheme="minorHAnsi" w:hint="eastAsia"/>
          <w:color w:val="000000"/>
          <w:sz w:val="18"/>
          <w:szCs w:val="18"/>
        </w:rPr>
        <w:t>年，他被任命为“联合教务主任”，负责协调</w:t>
      </w:r>
      <w:r w:rsidRPr="00393E23">
        <w:rPr>
          <w:rFonts w:asciiTheme="minorHAnsi" w:hAnsiTheme="minorHAnsi" w:cstheme="minorHAnsi" w:hint="eastAsia"/>
          <w:color w:val="000000"/>
          <w:sz w:val="18"/>
          <w:szCs w:val="18"/>
        </w:rPr>
        <w:t>ACLM</w:t>
      </w:r>
      <w:r w:rsidRPr="00393E23">
        <w:rPr>
          <w:rFonts w:asciiTheme="minorHAnsi" w:hAnsiTheme="minorHAnsi" w:cstheme="minorHAnsi" w:hint="eastAsia"/>
          <w:color w:val="000000"/>
          <w:sz w:val="18"/>
          <w:szCs w:val="18"/>
        </w:rPr>
        <w:t>在澳大利亚各地的培训课程。他是世界医学</w:t>
      </w:r>
      <w:r w:rsidR="00670266">
        <w:rPr>
          <w:rFonts w:asciiTheme="minorHAnsi" w:hAnsiTheme="minorHAnsi" w:cstheme="minorHAnsi" w:hint="eastAsia"/>
          <w:color w:val="000000"/>
          <w:sz w:val="18"/>
          <w:szCs w:val="18"/>
        </w:rPr>
        <w:t>法学</w:t>
      </w:r>
      <w:r w:rsidRPr="00393E23">
        <w:rPr>
          <w:rFonts w:asciiTheme="minorHAnsi" w:hAnsiTheme="minorHAnsi" w:cstheme="minorHAnsi" w:hint="eastAsia"/>
          <w:color w:val="000000"/>
          <w:sz w:val="18"/>
          <w:szCs w:val="18"/>
        </w:rPr>
        <w:t>协会（</w:t>
      </w:r>
      <w:r w:rsidRPr="00393E23">
        <w:rPr>
          <w:rFonts w:asciiTheme="minorHAnsi" w:hAnsiTheme="minorHAnsi" w:cstheme="minorHAnsi" w:hint="eastAsia"/>
          <w:color w:val="000000"/>
          <w:sz w:val="18"/>
          <w:szCs w:val="18"/>
        </w:rPr>
        <w:t>WAML</w:t>
      </w:r>
      <w:r w:rsidRPr="00393E23">
        <w:rPr>
          <w:rFonts w:asciiTheme="minorHAnsi" w:hAnsiTheme="minorHAnsi" w:cstheme="minorHAnsi" w:hint="eastAsia"/>
          <w:color w:val="000000"/>
          <w:sz w:val="18"/>
          <w:szCs w:val="18"/>
        </w:rPr>
        <w:t>）的澳大利亚理事，曾担任秘书长，目前担任副主席，并在多个世界医学</w:t>
      </w:r>
      <w:r w:rsidR="00670266">
        <w:rPr>
          <w:rFonts w:asciiTheme="minorHAnsi" w:hAnsiTheme="minorHAnsi" w:cstheme="minorHAnsi" w:hint="eastAsia"/>
          <w:color w:val="000000"/>
          <w:sz w:val="18"/>
          <w:szCs w:val="18"/>
        </w:rPr>
        <w:t>法学</w:t>
      </w:r>
      <w:r w:rsidRPr="00393E23">
        <w:rPr>
          <w:rFonts w:asciiTheme="minorHAnsi" w:hAnsiTheme="minorHAnsi" w:cstheme="minorHAnsi" w:hint="eastAsia"/>
          <w:color w:val="000000"/>
          <w:sz w:val="18"/>
          <w:szCs w:val="18"/>
        </w:rPr>
        <w:t>大会（</w:t>
      </w:r>
      <w:r w:rsidRPr="00393E23">
        <w:rPr>
          <w:rFonts w:asciiTheme="minorHAnsi" w:hAnsiTheme="minorHAnsi" w:cstheme="minorHAnsi" w:hint="eastAsia"/>
          <w:color w:val="000000"/>
          <w:sz w:val="18"/>
          <w:szCs w:val="18"/>
        </w:rPr>
        <w:t>WCML</w:t>
      </w:r>
      <w:r w:rsidRPr="00393E23">
        <w:rPr>
          <w:rFonts w:asciiTheme="minorHAnsi" w:hAnsiTheme="minorHAnsi" w:cstheme="minorHAnsi" w:hint="eastAsia"/>
          <w:color w:val="000000"/>
          <w:sz w:val="18"/>
          <w:szCs w:val="18"/>
        </w:rPr>
        <w:t>）的组织委员会任职，</w:t>
      </w:r>
      <w:r w:rsidRPr="00393E23">
        <w:rPr>
          <w:rFonts w:asciiTheme="minorHAnsi" w:hAnsiTheme="minorHAnsi" w:cstheme="minorHAnsi" w:hint="eastAsia"/>
          <w:color w:val="000000"/>
          <w:sz w:val="18"/>
          <w:szCs w:val="18"/>
        </w:rPr>
        <w:t>2004</w:t>
      </w:r>
      <w:r w:rsidRPr="00393E23">
        <w:rPr>
          <w:rFonts w:asciiTheme="minorHAnsi" w:hAnsiTheme="minorHAnsi" w:cstheme="minorHAnsi" w:hint="eastAsia"/>
          <w:color w:val="000000"/>
          <w:sz w:val="18"/>
          <w:szCs w:val="18"/>
        </w:rPr>
        <w:t>年在悉尼主持了</w:t>
      </w:r>
      <w:r w:rsidRPr="00393E23">
        <w:rPr>
          <w:rFonts w:asciiTheme="minorHAnsi" w:hAnsiTheme="minorHAnsi" w:cstheme="minorHAnsi" w:hint="eastAsia"/>
          <w:color w:val="000000"/>
          <w:sz w:val="18"/>
          <w:szCs w:val="18"/>
        </w:rPr>
        <w:t>WCML</w:t>
      </w:r>
      <w:r w:rsidRPr="00393E23">
        <w:rPr>
          <w:rFonts w:asciiTheme="minorHAnsi" w:hAnsiTheme="minorHAnsi" w:cstheme="minorHAnsi" w:hint="eastAsia"/>
          <w:color w:val="000000"/>
          <w:sz w:val="18"/>
          <w:szCs w:val="18"/>
        </w:rPr>
        <w:t>，并将在</w:t>
      </w:r>
      <w:r w:rsidRPr="00393E23">
        <w:rPr>
          <w:rFonts w:asciiTheme="minorHAnsi" w:hAnsiTheme="minorHAnsi" w:cstheme="minorHAnsi" w:hint="eastAsia"/>
          <w:color w:val="000000"/>
          <w:sz w:val="18"/>
          <w:szCs w:val="18"/>
        </w:rPr>
        <w:t>2022</w:t>
      </w:r>
      <w:r w:rsidRPr="00393E23">
        <w:rPr>
          <w:rFonts w:asciiTheme="minorHAnsi" w:hAnsiTheme="minorHAnsi" w:cstheme="minorHAnsi" w:hint="eastAsia"/>
          <w:color w:val="000000"/>
          <w:sz w:val="18"/>
          <w:szCs w:val="18"/>
        </w:rPr>
        <w:t>年作为会议主席，在昆士兰的黄金海岸举办</w:t>
      </w:r>
      <w:r w:rsidRPr="00393E23">
        <w:rPr>
          <w:rFonts w:asciiTheme="minorHAnsi" w:hAnsiTheme="minorHAnsi" w:cstheme="minorHAnsi" w:hint="eastAsia"/>
          <w:color w:val="000000"/>
          <w:sz w:val="18"/>
          <w:szCs w:val="18"/>
        </w:rPr>
        <w:t>WCML</w:t>
      </w:r>
      <w:r w:rsidRPr="00393E23">
        <w:rPr>
          <w:rFonts w:asciiTheme="minorHAnsi" w:hAnsiTheme="minorHAnsi" w:cstheme="minorHAnsi" w:hint="eastAsia"/>
          <w:color w:val="000000"/>
          <w:sz w:val="18"/>
          <w:szCs w:val="18"/>
        </w:rPr>
        <w:t>。他是皇家内科医师学会法医学与法律医学学院的首位荣誉院士。</w:t>
      </w:r>
    </w:p>
    <w:p w14:paraId="5201910E" w14:textId="77777777" w:rsidR="002534B9" w:rsidRDefault="00393E23">
      <w:pPr>
        <w:spacing w:before="100" w:beforeAutospacing="1" w:after="100" w:afterAutospacing="1"/>
        <w:rPr>
          <w:rFonts w:hAnsi="宋体"/>
          <w:b/>
          <w:bCs/>
          <w:color w:val="000080"/>
          <w:sz w:val="24"/>
          <w:szCs w:val="24"/>
        </w:rPr>
      </w:pPr>
      <w:r>
        <w:rPr>
          <w:rFonts w:hAnsi="宋体"/>
          <w:b/>
          <w:bCs/>
          <w:color w:val="000080"/>
          <w:sz w:val="24"/>
          <w:szCs w:val="24"/>
        </w:rPr>
        <w:t>Profile</w:t>
      </w:r>
      <w:bookmarkEnd w:id="1"/>
      <w:bookmarkEnd w:id="2"/>
    </w:p>
    <w:bookmarkEnd w:id="3"/>
    <w:bookmarkEnd w:id="4"/>
    <w:p w14:paraId="7AE9B8D8" w14:textId="504CEFA4" w:rsidR="002807FF" w:rsidRPr="002807FF" w:rsidRDefault="00393E23" w:rsidP="002807FF">
      <w:pPr>
        <w:spacing w:line="276" w:lineRule="auto"/>
        <w:rPr>
          <w:rFonts w:asciiTheme="minorHAnsi" w:hAnsiTheme="minorHAnsi" w:cstheme="minorHAnsi"/>
          <w:color w:val="000000"/>
          <w:sz w:val="18"/>
          <w:szCs w:val="18"/>
        </w:rPr>
      </w:pPr>
      <w:r w:rsidRPr="00393E23">
        <w:rPr>
          <w:rFonts w:asciiTheme="minorHAnsi" w:hAnsiTheme="minorHAnsi" w:cstheme="minorHAnsi"/>
          <w:color w:val="000000"/>
          <w:sz w:val="18"/>
          <w:szCs w:val="18"/>
        </w:rPr>
        <w:t>Roy Gary Beran</w:t>
      </w:r>
      <w:r w:rsidR="002807FF" w:rsidRPr="002807FF">
        <w:rPr>
          <w:rFonts w:asciiTheme="minorHAnsi" w:hAnsiTheme="minorHAnsi" w:cstheme="minorHAnsi"/>
          <w:color w:val="000000"/>
          <w:sz w:val="18"/>
          <w:szCs w:val="18"/>
        </w:rPr>
        <w:t xml:space="preserve"> is trained as a consultant neurologist and accredited sleep physician, in addition to working within legal medicine, military medicine and aviation medicine. He is registered with the Australian Health Practitioner Regulation Agency (AHPRA) as a specialist in Neurology, Public Health and Sleep Medicine and was a Designated Medical Examiner for the Civil Aviation Safety Authority, a medical assessor for Dispute Resolution for the State Insurance Regulatory Authority and an assessor for the Workers Compensation Commission of New South Wales (NSW). He is a Conjoint Professor of Medicine at the University of </w:t>
      </w:r>
      <w:proofErr w:type="gramStart"/>
      <w:r w:rsidR="002807FF" w:rsidRPr="002807FF">
        <w:rPr>
          <w:rFonts w:asciiTheme="minorHAnsi" w:hAnsiTheme="minorHAnsi" w:cstheme="minorHAnsi"/>
          <w:color w:val="000000"/>
          <w:sz w:val="18"/>
          <w:szCs w:val="18"/>
        </w:rPr>
        <w:t>NSW;</w:t>
      </w:r>
      <w:proofErr w:type="gramEnd"/>
      <w:r w:rsidR="002807FF" w:rsidRPr="002807FF">
        <w:rPr>
          <w:rFonts w:asciiTheme="minorHAnsi" w:hAnsiTheme="minorHAnsi" w:cstheme="minorHAnsi"/>
          <w:color w:val="000000"/>
          <w:sz w:val="18"/>
          <w:szCs w:val="18"/>
        </w:rPr>
        <w:t xml:space="preserve"> Professor in the School of Medicine at Griffith University, Queensland. He was the inaugural Visiting Professor at the International Research Institute of Health Law Sciences at the Southern Medical University, Guangzhou, Guangdong Province, China. In 2022, he was </w:t>
      </w:r>
      <w:r w:rsidR="002807FF" w:rsidRPr="002807FF">
        <w:rPr>
          <w:rFonts w:asciiTheme="minorHAnsi" w:hAnsiTheme="minorHAnsi" w:cstheme="minorHAnsi"/>
          <w:color w:val="000000"/>
          <w:sz w:val="18"/>
          <w:szCs w:val="18"/>
        </w:rPr>
        <w:lastRenderedPageBreak/>
        <w:t>appointed as a Conjoint Professor in the School of Medicine at the Western Sydney University, in addition to the above appointments.</w:t>
      </w:r>
    </w:p>
    <w:p w14:paraId="5201910F" w14:textId="6052918E" w:rsidR="002534B9" w:rsidRDefault="002807FF" w:rsidP="002807FF">
      <w:pPr>
        <w:spacing w:line="276" w:lineRule="auto"/>
        <w:rPr>
          <w:rFonts w:asciiTheme="minorHAnsi" w:hAnsiTheme="minorHAnsi" w:cstheme="minorHAnsi"/>
          <w:color w:val="000000"/>
          <w:sz w:val="18"/>
          <w:szCs w:val="18"/>
        </w:rPr>
      </w:pPr>
      <w:r w:rsidRPr="002807FF">
        <w:rPr>
          <w:rFonts w:asciiTheme="minorHAnsi" w:hAnsiTheme="minorHAnsi" w:cstheme="minorHAnsi"/>
          <w:color w:val="000000"/>
          <w:sz w:val="18"/>
          <w:szCs w:val="18"/>
        </w:rPr>
        <w:t xml:space="preserve">He </w:t>
      </w:r>
      <w:proofErr w:type="gramStart"/>
      <w:r w:rsidRPr="002807FF">
        <w:rPr>
          <w:rFonts w:asciiTheme="minorHAnsi" w:hAnsiTheme="minorHAnsi" w:cstheme="minorHAnsi"/>
          <w:color w:val="000000"/>
          <w:sz w:val="18"/>
          <w:szCs w:val="18"/>
        </w:rPr>
        <w:t>is:</w:t>
      </w:r>
      <w:proofErr w:type="gramEnd"/>
      <w:r w:rsidRPr="002807FF">
        <w:rPr>
          <w:rFonts w:asciiTheme="minorHAnsi" w:hAnsiTheme="minorHAnsi" w:cstheme="minorHAnsi"/>
          <w:color w:val="000000"/>
          <w:sz w:val="18"/>
          <w:szCs w:val="18"/>
        </w:rPr>
        <w:t xml:space="preserve"> a founding Fellow of the Australasian College of Legal Medicine (ACLM); a Past President thereof, having stepped down in 2011, remains on Council and was awarded its second Honorary Life Fellowship. In 2019, he was appointed as ‘Co-Head of Faculty’ to co-ordinate the ACLM training courses throughout Australia.   He is the Australian Governor, was the Secretary General and remains a Vice President of the World Association for Medical Law (WAML), serving on the </w:t>
      </w:r>
      <w:proofErr w:type="spellStart"/>
      <w:r w:rsidRPr="002807FF">
        <w:rPr>
          <w:rFonts w:asciiTheme="minorHAnsi" w:hAnsiTheme="minorHAnsi" w:cstheme="minorHAnsi"/>
          <w:color w:val="000000"/>
          <w:sz w:val="18"/>
          <w:szCs w:val="18"/>
        </w:rPr>
        <w:t>Organising</w:t>
      </w:r>
      <w:proofErr w:type="spellEnd"/>
      <w:r w:rsidRPr="002807FF">
        <w:rPr>
          <w:rFonts w:asciiTheme="minorHAnsi" w:hAnsiTheme="minorHAnsi" w:cstheme="minorHAnsi"/>
          <w:color w:val="000000"/>
          <w:sz w:val="18"/>
          <w:szCs w:val="18"/>
        </w:rPr>
        <w:t xml:space="preserve"> Committee of numerous World Congresses on Medical Law (WCML), presided over the WCML, in Sydney, in 2004, and will host the WCML, for the WAML, on the Gold Coast, Queensland, in 2022, serving as its </w:t>
      </w:r>
      <w:proofErr w:type="spellStart"/>
      <w:r w:rsidRPr="002807FF">
        <w:rPr>
          <w:rFonts w:asciiTheme="minorHAnsi" w:hAnsiTheme="minorHAnsi" w:cstheme="minorHAnsi"/>
          <w:color w:val="000000"/>
          <w:sz w:val="18"/>
          <w:szCs w:val="18"/>
        </w:rPr>
        <w:t>Programme</w:t>
      </w:r>
      <w:proofErr w:type="spellEnd"/>
      <w:r w:rsidRPr="002807FF">
        <w:rPr>
          <w:rFonts w:asciiTheme="minorHAnsi" w:hAnsiTheme="minorHAnsi" w:cstheme="minorHAnsi"/>
          <w:color w:val="000000"/>
          <w:sz w:val="18"/>
          <w:szCs w:val="18"/>
        </w:rPr>
        <w:t xml:space="preserve"> Chair. He was the first Honorary Fellow of the Faculty of Forensic &amp; Legal Medicine of the Royal College of Physicians (London).</w:t>
      </w:r>
    </w:p>
    <w:tbl>
      <w:tblPr>
        <w:tblpPr w:leftFromText="180" w:rightFromText="180" w:vertAnchor="text" w:horzAnchor="margin" w:tblpX="74" w:tblpY="71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678"/>
      </w:tblGrid>
      <w:tr w:rsidR="002534B9" w14:paraId="52019112" w14:textId="77777777">
        <w:trPr>
          <w:trHeight w:val="472"/>
        </w:trPr>
        <w:tc>
          <w:tcPr>
            <w:tcW w:w="3686" w:type="dxa"/>
            <w:shd w:val="clear" w:color="auto" w:fill="B8CCE4"/>
            <w:vAlign w:val="center"/>
          </w:tcPr>
          <w:p w14:paraId="52019110" w14:textId="77777777" w:rsidR="002534B9" w:rsidRDefault="00393E23">
            <w:pPr>
              <w:rPr>
                <w:b/>
                <w:bCs/>
                <w:color w:val="1F497D"/>
                <w:sz w:val="15"/>
                <w:szCs w:val="15"/>
              </w:rPr>
            </w:pPr>
            <w:r>
              <w:rPr>
                <w:rFonts w:hAnsi="宋体"/>
                <w:b/>
                <w:bCs/>
                <w:color w:val="1F497D"/>
                <w:sz w:val="15"/>
                <w:szCs w:val="15"/>
              </w:rPr>
              <w:t>院系</w:t>
            </w:r>
            <w:r>
              <w:rPr>
                <w:b/>
                <w:bCs/>
                <w:color w:val="1F497D"/>
                <w:sz w:val="15"/>
                <w:szCs w:val="15"/>
              </w:rPr>
              <w:t xml:space="preserve"> </w:t>
            </w:r>
            <w:r>
              <w:rPr>
                <w:rFonts w:hint="eastAsia"/>
                <w:b/>
                <w:bCs/>
                <w:color w:val="1F497D"/>
                <w:sz w:val="15"/>
                <w:szCs w:val="15"/>
              </w:rPr>
              <w:t xml:space="preserve"> </w:t>
            </w:r>
            <w:r>
              <w:rPr>
                <w:b/>
                <w:bCs/>
                <w:color w:val="1F497D"/>
                <w:sz w:val="15"/>
                <w:szCs w:val="15"/>
              </w:rPr>
              <w:t>School</w:t>
            </w:r>
          </w:p>
        </w:tc>
        <w:tc>
          <w:tcPr>
            <w:tcW w:w="4678" w:type="dxa"/>
            <w:vAlign w:val="center"/>
          </w:tcPr>
          <w:p w14:paraId="52019111" w14:textId="77777777" w:rsidR="002534B9" w:rsidRDefault="00393E23">
            <w:pPr>
              <w:rPr>
                <w:color w:val="000000"/>
                <w:sz w:val="15"/>
                <w:szCs w:val="15"/>
              </w:rPr>
            </w:pPr>
            <w:r>
              <w:rPr>
                <w:color w:val="000000"/>
                <w:sz w:val="15"/>
                <w:szCs w:val="15"/>
              </w:rPr>
              <w:t>中国法治战略研究院</w:t>
            </w:r>
            <w:r>
              <w:rPr>
                <w:color w:val="000000"/>
                <w:sz w:val="15"/>
                <w:szCs w:val="15"/>
              </w:rPr>
              <w:t xml:space="preserve"> Academy for China's Rule-of-Law</w:t>
            </w:r>
          </w:p>
        </w:tc>
      </w:tr>
      <w:tr w:rsidR="002534B9" w14:paraId="52019115" w14:textId="77777777">
        <w:trPr>
          <w:trHeight w:val="472"/>
        </w:trPr>
        <w:tc>
          <w:tcPr>
            <w:tcW w:w="3686" w:type="dxa"/>
            <w:shd w:val="clear" w:color="auto" w:fill="B8CCE4"/>
            <w:vAlign w:val="center"/>
          </w:tcPr>
          <w:p w14:paraId="52019113" w14:textId="77777777" w:rsidR="002534B9" w:rsidRDefault="00393E23">
            <w:pPr>
              <w:rPr>
                <w:b/>
                <w:bCs/>
                <w:color w:val="1F497D"/>
                <w:sz w:val="15"/>
                <w:szCs w:val="15"/>
              </w:rPr>
            </w:pPr>
            <w:r>
              <w:rPr>
                <w:rFonts w:hAnsi="宋体"/>
                <w:b/>
                <w:bCs/>
                <w:color w:val="1F497D"/>
                <w:sz w:val="15"/>
                <w:szCs w:val="15"/>
              </w:rPr>
              <w:t>学科门类</w:t>
            </w:r>
            <w:r>
              <w:rPr>
                <w:b/>
                <w:bCs/>
                <w:color w:val="1F497D"/>
                <w:sz w:val="15"/>
                <w:szCs w:val="15"/>
              </w:rPr>
              <w:t xml:space="preserve"> Fields of Study</w:t>
            </w:r>
          </w:p>
        </w:tc>
        <w:tc>
          <w:tcPr>
            <w:tcW w:w="4678" w:type="dxa"/>
            <w:vAlign w:val="center"/>
          </w:tcPr>
          <w:p w14:paraId="52019114" w14:textId="77777777" w:rsidR="002534B9" w:rsidRDefault="00393E23">
            <w:pPr>
              <w:rPr>
                <w:color w:val="000000"/>
                <w:sz w:val="15"/>
                <w:szCs w:val="15"/>
              </w:rPr>
            </w:pPr>
            <w:r>
              <w:rPr>
                <w:rFonts w:hAnsi="宋体"/>
                <w:color w:val="000000"/>
                <w:sz w:val="15"/>
                <w:szCs w:val="15"/>
              </w:rPr>
              <w:t>卫生健康法</w:t>
            </w:r>
            <w:r>
              <w:rPr>
                <w:rFonts w:hAnsi="宋体"/>
                <w:color w:val="000000"/>
                <w:sz w:val="15"/>
                <w:szCs w:val="15"/>
              </w:rPr>
              <w:t>Health Law</w:t>
            </w:r>
          </w:p>
        </w:tc>
      </w:tr>
      <w:tr w:rsidR="002534B9" w14:paraId="52019118" w14:textId="77777777">
        <w:trPr>
          <w:trHeight w:val="472"/>
        </w:trPr>
        <w:tc>
          <w:tcPr>
            <w:tcW w:w="3686" w:type="dxa"/>
            <w:shd w:val="clear" w:color="auto" w:fill="B8CCE4"/>
            <w:vAlign w:val="center"/>
          </w:tcPr>
          <w:p w14:paraId="52019116" w14:textId="77777777" w:rsidR="002534B9" w:rsidRDefault="00393E23">
            <w:pPr>
              <w:rPr>
                <w:b/>
                <w:bCs/>
                <w:color w:val="1F497D"/>
                <w:sz w:val="15"/>
                <w:szCs w:val="15"/>
              </w:rPr>
            </w:pPr>
            <w:r>
              <w:rPr>
                <w:rFonts w:hAnsi="宋体"/>
                <w:b/>
                <w:bCs/>
                <w:color w:val="1F497D"/>
                <w:sz w:val="15"/>
                <w:szCs w:val="15"/>
              </w:rPr>
              <w:t>所属一级学科名称</w:t>
            </w:r>
            <w:r>
              <w:rPr>
                <w:b/>
                <w:bCs/>
                <w:color w:val="1F497D"/>
                <w:sz w:val="15"/>
                <w:szCs w:val="15"/>
              </w:rPr>
              <w:t xml:space="preserve"> Disciplines</w:t>
            </w:r>
          </w:p>
        </w:tc>
        <w:tc>
          <w:tcPr>
            <w:tcW w:w="4678" w:type="dxa"/>
            <w:vAlign w:val="center"/>
          </w:tcPr>
          <w:p w14:paraId="52019117" w14:textId="77777777" w:rsidR="002534B9" w:rsidRDefault="00393E23">
            <w:pPr>
              <w:rPr>
                <w:color w:val="000000"/>
                <w:sz w:val="15"/>
                <w:szCs w:val="15"/>
              </w:rPr>
            </w:pPr>
            <w:r>
              <w:rPr>
                <w:rFonts w:hAnsi="宋体" w:hint="eastAsia"/>
                <w:color w:val="000000"/>
                <w:sz w:val="15"/>
                <w:szCs w:val="15"/>
              </w:rPr>
              <w:t>法学</w:t>
            </w:r>
            <w:r>
              <w:rPr>
                <w:color w:val="000000"/>
                <w:sz w:val="15"/>
                <w:szCs w:val="15"/>
              </w:rPr>
              <w:t xml:space="preserve"> Law</w:t>
            </w:r>
          </w:p>
        </w:tc>
      </w:tr>
      <w:tr w:rsidR="002534B9" w14:paraId="5201911B" w14:textId="77777777">
        <w:trPr>
          <w:trHeight w:val="472"/>
        </w:trPr>
        <w:tc>
          <w:tcPr>
            <w:tcW w:w="3686" w:type="dxa"/>
            <w:shd w:val="clear" w:color="auto" w:fill="B8CCE4"/>
            <w:vAlign w:val="center"/>
          </w:tcPr>
          <w:p w14:paraId="52019119" w14:textId="77777777" w:rsidR="002534B9" w:rsidRDefault="00393E23">
            <w:pPr>
              <w:rPr>
                <w:b/>
                <w:bCs/>
                <w:color w:val="1F497D"/>
                <w:sz w:val="15"/>
                <w:szCs w:val="15"/>
              </w:rPr>
            </w:pPr>
            <w:r>
              <w:rPr>
                <w:rFonts w:hAnsi="宋体"/>
                <w:b/>
                <w:bCs/>
                <w:color w:val="1F497D"/>
                <w:sz w:val="15"/>
                <w:szCs w:val="15"/>
              </w:rPr>
              <w:t>所属二级学科名称</w:t>
            </w:r>
            <w:r>
              <w:rPr>
                <w:b/>
                <w:bCs/>
                <w:color w:val="1F497D"/>
                <w:sz w:val="15"/>
                <w:szCs w:val="15"/>
              </w:rPr>
              <w:t xml:space="preserve"> Sub-Disciplines</w:t>
            </w:r>
          </w:p>
        </w:tc>
        <w:tc>
          <w:tcPr>
            <w:tcW w:w="4678" w:type="dxa"/>
            <w:vAlign w:val="center"/>
          </w:tcPr>
          <w:p w14:paraId="5201911A" w14:textId="77777777" w:rsidR="002534B9" w:rsidRDefault="00393E23">
            <w:pPr>
              <w:rPr>
                <w:color w:val="000000"/>
                <w:sz w:val="15"/>
                <w:szCs w:val="15"/>
              </w:rPr>
            </w:pPr>
            <w:r>
              <w:rPr>
                <w:rFonts w:hAnsi="宋体"/>
                <w:color w:val="000000"/>
                <w:sz w:val="15"/>
                <w:szCs w:val="15"/>
              </w:rPr>
              <w:t>卫生健康法</w:t>
            </w:r>
            <w:r>
              <w:rPr>
                <w:rFonts w:hAnsi="宋体"/>
                <w:color w:val="000000"/>
                <w:sz w:val="15"/>
                <w:szCs w:val="15"/>
              </w:rPr>
              <w:t>Health Law</w:t>
            </w:r>
          </w:p>
        </w:tc>
      </w:tr>
      <w:tr w:rsidR="002534B9" w14:paraId="5201911E" w14:textId="77777777">
        <w:trPr>
          <w:trHeight w:val="472"/>
        </w:trPr>
        <w:tc>
          <w:tcPr>
            <w:tcW w:w="3686" w:type="dxa"/>
            <w:shd w:val="clear" w:color="auto" w:fill="B8CCE4"/>
            <w:vAlign w:val="center"/>
          </w:tcPr>
          <w:p w14:paraId="5201911C" w14:textId="77777777" w:rsidR="002534B9" w:rsidRDefault="00393E23">
            <w:pPr>
              <w:rPr>
                <w:rFonts w:hAnsi="宋体"/>
                <w:b/>
                <w:bCs/>
                <w:color w:val="1F497D"/>
                <w:sz w:val="15"/>
                <w:szCs w:val="15"/>
              </w:rPr>
            </w:pPr>
            <w:r>
              <w:rPr>
                <w:rFonts w:hAnsi="宋体" w:hint="eastAsia"/>
                <w:b/>
                <w:bCs/>
                <w:color w:val="1F497D"/>
                <w:sz w:val="15"/>
                <w:szCs w:val="15"/>
              </w:rPr>
              <w:t>先修课程</w:t>
            </w:r>
            <w:r>
              <w:rPr>
                <w:b/>
                <w:bCs/>
                <w:color w:val="1F497D"/>
                <w:sz w:val="15"/>
                <w:szCs w:val="15"/>
              </w:rPr>
              <w:t xml:space="preserve"> Prerequisites</w:t>
            </w:r>
          </w:p>
        </w:tc>
        <w:tc>
          <w:tcPr>
            <w:tcW w:w="4678" w:type="dxa"/>
            <w:vAlign w:val="center"/>
          </w:tcPr>
          <w:p w14:paraId="5201911D" w14:textId="77777777" w:rsidR="002534B9" w:rsidRDefault="00393E23">
            <w:pPr>
              <w:rPr>
                <w:rFonts w:hAnsi="宋体"/>
                <w:color w:val="000000"/>
                <w:sz w:val="15"/>
                <w:szCs w:val="15"/>
              </w:rPr>
            </w:pPr>
            <w:r>
              <w:rPr>
                <w:rFonts w:hAnsi="宋体"/>
                <w:color w:val="000000"/>
                <w:sz w:val="15"/>
                <w:szCs w:val="15"/>
              </w:rPr>
              <w:t>无</w:t>
            </w:r>
            <w:r>
              <w:rPr>
                <w:rFonts w:hAnsi="宋体"/>
                <w:color w:val="000000"/>
                <w:sz w:val="15"/>
                <w:szCs w:val="15"/>
              </w:rPr>
              <w:t>N/A</w:t>
            </w:r>
          </w:p>
        </w:tc>
      </w:tr>
      <w:tr w:rsidR="002534B9" w14:paraId="52019121" w14:textId="77777777">
        <w:trPr>
          <w:trHeight w:val="472"/>
        </w:trPr>
        <w:tc>
          <w:tcPr>
            <w:tcW w:w="3686" w:type="dxa"/>
            <w:shd w:val="clear" w:color="auto" w:fill="B8CCE4"/>
            <w:vAlign w:val="center"/>
          </w:tcPr>
          <w:p w14:paraId="5201911F" w14:textId="77777777" w:rsidR="002534B9" w:rsidRDefault="00393E23">
            <w:pPr>
              <w:spacing w:line="240" w:lineRule="exact"/>
              <w:rPr>
                <w:b/>
                <w:bCs/>
                <w:color w:val="1F497D"/>
                <w:sz w:val="15"/>
                <w:szCs w:val="15"/>
              </w:rPr>
            </w:pPr>
            <w:r>
              <w:rPr>
                <w:rFonts w:hAnsi="宋体"/>
                <w:b/>
                <w:bCs/>
                <w:color w:val="1F497D"/>
                <w:sz w:val="15"/>
                <w:szCs w:val="15"/>
              </w:rPr>
              <w:t>选课对象</w:t>
            </w:r>
            <w:r>
              <w:rPr>
                <w:b/>
                <w:bCs/>
                <w:color w:val="1F497D"/>
                <w:sz w:val="15"/>
                <w:szCs w:val="15"/>
              </w:rPr>
              <w:t xml:space="preserve"> Registration Recommendations</w:t>
            </w:r>
          </w:p>
        </w:tc>
        <w:tc>
          <w:tcPr>
            <w:tcW w:w="4678" w:type="dxa"/>
            <w:vAlign w:val="center"/>
          </w:tcPr>
          <w:p w14:paraId="52019120" w14:textId="77777777" w:rsidR="002534B9" w:rsidRDefault="00393E23">
            <w:pPr>
              <w:rPr>
                <w:color w:val="000000"/>
                <w:sz w:val="15"/>
                <w:szCs w:val="15"/>
              </w:rPr>
            </w:pPr>
            <w:r>
              <w:rPr>
                <w:rFonts w:hAnsi="宋体" w:hint="eastAsia"/>
                <w:color w:val="000000"/>
                <w:sz w:val="15"/>
                <w:szCs w:val="15"/>
              </w:rPr>
              <w:t>硕士研究生</w:t>
            </w:r>
            <w:r>
              <w:rPr>
                <w:rFonts w:hAnsi="宋体"/>
                <w:color w:val="000000"/>
                <w:sz w:val="15"/>
                <w:szCs w:val="15"/>
              </w:rPr>
              <w:t>Post</w:t>
            </w:r>
            <w:r>
              <w:rPr>
                <w:color w:val="000000"/>
                <w:sz w:val="15"/>
                <w:szCs w:val="15"/>
              </w:rPr>
              <w:t>graduate students</w:t>
            </w:r>
          </w:p>
        </w:tc>
      </w:tr>
      <w:tr w:rsidR="002534B9" w14:paraId="52019124" w14:textId="77777777">
        <w:trPr>
          <w:trHeight w:val="472"/>
        </w:trPr>
        <w:tc>
          <w:tcPr>
            <w:tcW w:w="3686" w:type="dxa"/>
            <w:shd w:val="clear" w:color="auto" w:fill="B8CCE4"/>
            <w:vAlign w:val="center"/>
          </w:tcPr>
          <w:p w14:paraId="52019122" w14:textId="77777777" w:rsidR="002534B9" w:rsidRDefault="00393E23">
            <w:pPr>
              <w:spacing w:line="240" w:lineRule="exact"/>
              <w:rPr>
                <w:rFonts w:hAnsi="宋体"/>
                <w:b/>
                <w:bCs/>
                <w:color w:val="1F497D"/>
                <w:sz w:val="15"/>
                <w:szCs w:val="15"/>
              </w:rPr>
            </w:pPr>
            <w:r>
              <w:rPr>
                <w:rFonts w:hAnsi="宋体"/>
                <w:b/>
                <w:bCs/>
                <w:color w:val="1F497D"/>
                <w:sz w:val="15"/>
                <w:szCs w:val="15"/>
              </w:rPr>
              <w:t>课时与学分</w:t>
            </w:r>
            <w:r>
              <w:rPr>
                <w:rFonts w:hAnsi="宋体"/>
                <w:b/>
                <w:bCs/>
                <w:color w:val="1F497D"/>
                <w:sz w:val="15"/>
                <w:szCs w:val="15"/>
              </w:rPr>
              <w:t xml:space="preserve"> Lecture Hours &amp; Credits</w:t>
            </w:r>
          </w:p>
        </w:tc>
        <w:tc>
          <w:tcPr>
            <w:tcW w:w="4678" w:type="dxa"/>
            <w:vAlign w:val="center"/>
          </w:tcPr>
          <w:p w14:paraId="52019123" w14:textId="77777777" w:rsidR="002534B9" w:rsidRDefault="00393E23">
            <w:pPr>
              <w:spacing w:line="240" w:lineRule="exact"/>
              <w:rPr>
                <w:rFonts w:hAnsi="宋体"/>
                <w:b/>
                <w:bCs/>
                <w:color w:val="000000"/>
                <w:sz w:val="15"/>
                <w:szCs w:val="15"/>
              </w:rPr>
            </w:pPr>
            <w:r>
              <w:rPr>
                <w:rFonts w:hAnsi="宋体"/>
                <w:bCs/>
                <w:color w:val="000000"/>
                <w:sz w:val="15"/>
                <w:szCs w:val="15"/>
              </w:rPr>
              <w:t>36</w:t>
            </w:r>
            <w:r>
              <w:rPr>
                <w:rFonts w:hAnsi="宋体"/>
                <w:bCs/>
                <w:color w:val="000000"/>
                <w:sz w:val="15"/>
                <w:szCs w:val="15"/>
              </w:rPr>
              <w:t>学时</w:t>
            </w:r>
            <w:r>
              <w:rPr>
                <w:rFonts w:hAnsi="宋体" w:hint="eastAsia"/>
                <w:b/>
                <w:bCs/>
                <w:color w:val="000000"/>
                <w:sz w:val="15"/>
                <w:szCs w:val="15"/>
              </w:rPr>
              <w:t xml:space="preserve"> </w:t>
            </w:r>
            <w:r>
              <w:rPr>
                <w:color w:val="000000"/>
                <w:sz w:val="15"/>
                <w:szCs w:val="15"/>
              </w:rPr>
              <w:t>36</w:t>
            </w:r>
            <w:r>
              <w:rPr>
                <w:rFonts w:hint="eastAsia"/>
                <w:color w:val="000000"/>
                <w:sz w:val="15"/>
                <w:szCs w:val="15"/>
              </w:rPr>
              <w:t xml:space="preserve"> </w:t>
            </w:r>
            <w:r>
              <w:rPr>
                <w:color w:val="000000"/>
                <w:sz w:val="15"/>
                <w:szCs w:val="15"/>
              </w:rPr>
              <w:t>Lecture Hours</w:t>
            </w:r>
          </w:p>
        </w:tc>
      </w:tr>
      <w:tr w:rsidR="002534B9" w14:paraId="52019127" w14:textId="77777777">
        <w:trPr>
          <w:trHeight w:val="472"/>
        </w:trPr>
        <w:tc>
          <w:tcPr>
            <w:tcW w:w="3686" w:type="dxa"/>
            <w:shd w:val="clear" w:color="auto" w:fill="B8CCE4"/>
            <w:vAlign w:val="center"/>
          </w:tcPr>
          <w:p w14:paraId="52019125" w14:textId="77777777" w:rsidR="002534B9" w:rsidRDefault="00393E23">
            <w:pPr>
              <w:rPr>
                <w:b/>
                <w:bCs/>
                <w:color w:val="1F497D"/>
                <w:sz w:val="15"/>
                <w:szCs w:val="15"/>
              </w:rPr>
            </w:pPr>
            <w:r>
              <w:rPr>
                <w:rFonts w:hAnsi="宋体" w:hint="eastAsia"/>
                <w:b/>
                <w:bCs/>
                <w:color w:val="1F497D"/>
                <w:sz w:val="15"/>
                <w:szCs w:val="15"/>
              </w:rPr>
              <w:t>授课语言</w:t>
            </w:r>
            <w:r>
              <w:rPr>
                <w:b/>
                <w:bCs/>
                <w:color w:val="1F497D"/>
                <w:sz w:val="15"/>
                <w:szCs w:val="15"/>
              </w:rPr>
              <w:t xml:space="preserve"> </w:t>
            </w:r>
            <w:r>
              <w:rPr>
                <w:rFonts w:hint="eastAsia"/>
                <w:b/>
                <w:bCs/>
                <w:color w:val="1F497D"/>
                <w:sz w:val="15"/>
                <w:szCs w:val="15"/>
              </w:rPr>
              <w:t>Language taught</w:t>
            </w:r>
          </w:p>
        </w:tc>
        <w:tc>
          <w:tcPr>
            <w:tcW w:w="4678" w:type="dxa"/>
            <w:vAlign w:val="center"/>
          </w:tcPr>
          <w:p w14:paraId="52019126" w14:textId="77777777" w:rsidR="002534B9" w:rsidRDefault="00393E23">
            <w:pPr>
              <w:rPr>
                <w:color w:val="000000"/>
                <w:sz w:val="15"/>
                <w:szCs w:val="15"/>
              </w:rPr>
            </w:pPr>
            <w:r>
              <w:rPr>
                <w:rFonts w:hint="eastAsia"/>
                <w:color w:val="000000"/>
                <w:sz w:val="15"/>
                <w:szCs w:val="15"/>
              </w:rPr>
              <w:t>英语</w:t>
            </w:r>
            <w:r>
              <w:rPr>
                <w:rFonts w:hint="eastAsia"/>
                <w:color w:val="000000"/>
                <w:sz w:val="15"/>
                <w:szCs w:val="15"/>
              </w:rPr>
              <w:t xml:space="preserve"> English</w:t>
            </w:r>
          </w:p>
        </w:tc>
      </w:tr>
    </w:tbl>
    <w:p w14:paraId="52019128" w14:textId="77777777" w:rsidR="002534B9" w:rsidRDefault="00393E23">
      <w:pPr>
        <w:spacing w:before="100" w:beforeAutospacing="1" w:after="100" w:afterAutospacing="1"/>
        <w:rPr>
          <w:rFonts w:hAnsi="宋体"/>
          <w:b/>
          <w:bCs/>
          <w:color w:val="000080"/>
          <w:sz w:val="24"/>
          <w:szCs w:val="24"/>
        </w:rPr>
      </w:pPr>
      <w:r>
        <w:rPr>
          <w:rFonts w:hAnsi="宋体" w:hint="eastAsia"/>
          <w:b/>
          <w:bCs/>
          <w:color w:val="000080"/>
          <w:sz w:val="24"/>
          <w:szCs w:val="24"/>
        </w:rPr>
        <w:t>基本信息</w:t>
      </w:r>
      <w:r>
        <w:rPr>
          <w:rFonts w:hAnsi="宋体" w:hint="eastAsia"/>
          <w:b/>
          <w:bCs/>
          <w:color w:val="000080"/>
          <w:sz w:val="24"/>
          <w:szCs w:val="24"/>
        </w:rPr>
        <w:t xml:space="preserve"> </w:t>
      </w:r>
      <w:r>
        <w:rPr>
          <w:rFonts w:hAnsi="宋体"/>
          <w:b/>
          <w:bCs/>
          <w:color w:val="000080"/>
          <w:sz w:val="24"/>
          <w:szCs w:val="24"/>
        </w:rPr>
        <w:t>Basic information</w:t>
      </w:r>
    </w:p>
    <w:p w14:paraId="52019129" w14:textId="77777777" w:rsidR="002534B9" w:rsidRDefault="002534B9">
      <w:pPr>
        <w:rPr>
          <w:rFonts w:hAnsi="宋体"/>
          <w:b/>
          <w:bCs/>
          <w:color w:val="000080"/>
          <w:sz w:val="28"/>
          <w:szCs w:val="28"/>
        </w:rPr>
      </w:pPr>
    </w:p>
    <w:p w14:paraId="5201912A" w14:textId="77777777" w:rsidR="002534B9" w:rsidRDefault="00393E23">
      <w:pPr>
        <w:spacing w:before="100" w:beforeAutospacing="1" w:after="100" w:afterAutospacing="1"/>
        <w:rPr>
          <w:rFonts w:hAnsi="宋体"/>
          <w:b/>
          <w:bCs/>
          <w:color w:val="000080"/>
          <w:sz w:val="24"/>
          <w:szCs w:val="24"/>
        </w:rPr>
      </w:pPr>
      <w:r>
        <w:rPr>
          <w:rFonts w:hAnsi="宋体"/>
          <w:b/>
          <w:bCs/>
          <w:color w:val="000080"/>
          <w:sz w:val="28"/>
          <w:szCs w:val="28"/>
        </w:rPr>
        <w:br w:type="page"/>
      </w:r>
      <w:r>
        <w:rPr>
          <w:rFonts w:hAnsi="宋体"/>
          <w:b/>
          <w:bCs/>
          <w:color w:val="000080"/>
          <w:sz w:val="24"/>
          <w:szCs w:val="24"/>
        </w:rPr>
        <w:lastRenderedPageBreak/>
        <w:t>课程目标</w:t>
      </w:r>
    </w:p>
    <w:p w14:paraId="5201912B" w14:textId="77777777" w:rsidR="002534B9" w:rsidRDefault="00393E23">
      <w:pPr>
        <w:rPr>
          <w:rFonts w:hAnsi="宋体"/>
          <w:color w:val="000000"/>
          <w:sz w:val="18"/>
          <w:szCs w:val="18"/>
        </w:rPr>
      </w:pPr>
      <w:bookmarkStart w:id="5" w:name="_Hlk175847892"/>
      <w:r>
        <w:rPr>
          <w:rFonts w:hAnsi="宋体" w:hint="eastAsia"/>
          <w:color w:val="000000"/>
          <w:sz w:val="18"/>
          <w:szCs w:val="18"/>
        </w:rPr>
        <w:t xml:space="preserve"> </w:t>
      </w:r>
      <w:r>
        <w:rPr>
          <w:rFonts w:hAnsi="宋体"/>
          <w:color w:val="000000"/>
          <w:sz w:val="18"/>
          <w:szCs w:val="18"/>
        </w:rPr>
        <w:t xml:space="preserve">   </w:t>
      </w:r>
      <w:bookmarkEnd w:id="5"/>
      <w:r>
        <w:rPr>
          <w:rFonts w:hAnsi="宋体" w:hint="eastAsia"/>
          <w:color w:val="000000"/>
          <w:sz w:val="18"/>
          <w:szCs w:val="18"/>
        </w:rPr>
        <w:t>本课程旨在使学生</w:t>
      </w:r>
      <w:r>
        <w:rPr>
          <w:rFonts w:hAnsi="宋体"/>
          <w:color w:val="000000"/>
          <w:sz w:val="18"/>
          <w:szCs w:val="18"/>
        </w:rPr>
        <w:t>理解普通法背景下的过失，培养学生分析并应用注意义务概念的能力，评估注意义务何时产生及其范围，探讨知情同意与警告义务。使学生能够理解法律上的因果关系原则，以及它们如何决定过失案件中的责任，包括事实上的因果关系和法律上的因果关系之间的区别。使学生具备在对抗制法律体系中有效提出和评估专家证据的知识和技能，重点关注其在过失案件中的作用。讨论法律医学的演变趋势，包括新兴技术、道德</w:t>
      </w:r>
      <w:proofErr w:type="gramStart"/>
      <w:r>
        <w:rPr>
          <w:rFonts w:hAnsi="宋体"/>
          <w:color w:val="000000"/>
          <w:sz w:val="18"/>
          <w:szCs w:val="18"/>
        </w:rPr>
        <w:t>考量</w:t>
      </w:r>
      <w:proofErr w:type="gramEnd"/>
      <w:r>
        <w:rPr>
          <w:rFonts w:hAnsi="宋体"/>
          <w:color w:val="000000"/>
          <w:sz w:val="18"/>
          <w:szCs w:val="18"/>
        </w:rPr>
        <w:t>及其对法律实践和政策的影响。</w:t>
      </w:r>
    </w:p>
    <w:p w14:paraId="5201912C" w14:textId="77777777" w:rsidR="002534B9" w:rsidRDefault="002534B9">
      <w:pPr>
        <w:rPr>
          <w:rFonts w:hAnsi="宋体"/>
          <w:color w:val="000000"/>
          <w:sz w:val="18"/>
          <w:szCs w:val="18"/>
        </w:rPr>
      </w:pPr>
    </w:p>
    <w:p w14:paraId="5201912D" w14:textId="77777777" w:rsidR="002534B9" w:rsidRDefault="00393E23">
      <w:pPr>
        <w:spacing w:before="100" w:beforeAutospacing="1" w:after="100" w:afterAutospacing="1"/>
        <w:rPr>
          <w:b/>
          <w:bCs/>
          <w:color w:val="000080"/>
          <w:sz w:val="24"/>
          <w:szCs w:val="24"/>
        </w:rPr>
      </w:pPr>
      <w:r>
        <w:rPr>
          <w:b/>
          <w:bCs/>
          <w:color w:val="000080"/>
          <w:sz w:val="24"/>
          <w:szCs w:val="24"/>
        </w:rPr>
        <w:t>Learning Goals</w:t>
      </w:r>
    </w:p>
    <w:p w14:paraId="5201912E" w14:textId="77777777" w:rsidR="002534B9" w:rsidRDefault="00393E23">
      <w:pPr>
        <w:spacing w:before="100" w:beforeAutospacing="1" w:after="100" w:afterAutospacing="1"/>
        <w:rPr>
          <w:rFonts w:asciiTheme="minorHAnsi" w:hAnsiTheme="minorHAnsi" w:cstheme="minorHAnsi"/>
          <w:color w:val="000000"/>
          <w:sz w:val="18"/>
          <w:szCs w:val="18"/>
        </w:rPr>
      </w:pPr>
      <w:r>
        <w:rPr>
          <w:rFonts w:asciiTheme="minorHAnsi" w:hAnsiTheme="minorHAnsi" w:cstheme="minorHAnsi"/>
          <w:color w:val="000000"/>
          <w:sz w:val="18"/>
          <w:szCs w:val="18"/>
        </w:rPr>
        <w:t xml:space="preserve">This course aims to enable students to understand negligence in the context of common law, cultivate their ability to analyze and apply the concept of duty of care, assess when the duty of care arises and its scope, and explore informed consent and the duty to warn. It also enables students to understand the principles of causation in law and how they determine liability in negligence cases, including the distinction between factual causation and legal causation. Students will acquire the knowledge and skills to effectively present and evaluate expert evidence in an adversarial legal system, with a focus on its role in negligence cases. Furthermore, the course discusses the evolving trends in forensic medicine, including emerging technologies, ethical considerations, and their impact on legal practice and </w:t>
      </w:r>
      <w:proofErr w:type="gramStart"/>
      <w:r>
        <w:rPr>
          <w:rFonts w:asciiTheme="minorHAnsi" w:hAnsiTheme="minorHAnsi" w:cstheme="minorHAnsi"/>
          <w:color w:val="000000"/>
          <w:sz w:val="18"/>
          <w:szCs w:val="18"/>
        </w:rPr>
        <w:t>policy..</w:t>
      </w:r>
      <w:proofErr w:type="gramEnd"/>
    </w:p>
    <w:p w14:paraId="5201912F" w14:textId="77777777" w:rsidR="002534B9" w:rsidRDefault="00393E23">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课程内容</w:t>
      </w:r>
    </w:p>
    <w:p w14:paraId="52019130" w14:textId="77777777" w:rsidR="002534B9" w:rsidRDefault="00393E23">
      <w:pPr>
        <w:rPr>
          <w:rFonts w:hAnsi="宋体"/>
          <w:color w:val="000000"/>
          <w:sz w:val="18"/>
          <w:szCs w:val="18"/>
        </w:rPr>
      </w:pPr>
      <w:r>
        <w:rPr>
          <w:rFonts w:hAnsi="宋体"/>
          <w:color w:val="000000"/>
          <w:sz w:val="18"/>
          <w:szCs w:val="18"/>
        </w:rPr>
        <w:t>普通法中的过失简介：过失原则概述、历史发展及其在现代法律体系中的重要性。</w:t>
      </w:r>
    </w:p>
    <w:p w14:paraId="52019131" w14:textId="77777777" w:rsidR="002534B9" w:rsidRDefault="00393E23">
      <w:pPr>
        <w:rPr>
          <w:rFonts w:hAnsi="宋体"/>
          <w:color w:val="000000"/>
          <w:sz w:val="18"/>
          <w:szCs w:val="18"/>
        </w:rPr>
      </w:pPr>
      <w:r>
        <w:rPr>
          <w:rFonts w:hAnsi="宋体"/>
          <w:color w:val="000000"/>
          <w:sz w:val="18"/>
          <w:szCs w:val="18"/>
        </w:rPr>
        <w:t>注意义务分析：深入研究注意义务的要素，包括可预见性、邻近性和政策</w:t>
      </w:r>
      <w:proofErr w:type="gramStart"/>
      <w:r>
        <w:rPr>
          <w:rFonts w:hAnsi="宋体"/>
          <w:color w:val="000000"/>
          <w:sz w:val="18"/>
          <w:szCs w:val="18"/>
        </w:rPr>
        <w:t>考量</w:t>
      </w:r>
      <w:proofErr w:type="gramEnd"/>
      <w:r>
        <w:rPr>
          <w:rFonts w:hAnsi="宋体"/>
          <w:color w:val="000000"/>
          <w:sz w:val="18"/>
          <w:szCs w:val="18"/>
        </w:rPr>
        <w:t>。通过案例研究和假设情景进行应用。</w:t>
      </w:r>
    </w:p>
    <w:p w14:paraId="52019132" w14:textId="77777777" w:rsidR="002534B9" w:rsidRDefault="00393E23">
      <w:pPr>
        <w:rPr>
          <w:rFonts w:hAnsi="宋体"/>
          <w:color w:val="000000"/>
          <w:sz w:val="18"/>
          <w:szCs w:val="18"/>
        </w:rPr>
      </w:pPr>
      <w:r>
        <w:rPr>
          <w:rFonts w:hAnsi="宋体"/>
          <w:color w:val="000000"/>
          <w:sz w:val="18"/>
          <w:szCs w:val="18"/>
        </w:rPr>
        <w:t>知情同意与警告义务：讨论知情同意的法律和道德要求、患者自主权以及警告患者潜在风险的责任。</w:t>
      </w:r>
    </w:p>
    <w:p w14:paraId="52019133" w14:textId="77777777" w:rsidR="002534B9" w:rsidRDefault="00393E23">
      <w:pPr>
        <w:rPr>
          <w:rFonts w:hAnsi="宋体"/>
          <w:color w:val="000000"/>
          <w:sz w:val="18"/>
          <w:szCs w:val="18"/>
        </w:rPr>
      </w:pPr>
      <w:r>
        <w:rPr>
          <w:rFonts w:hAnsi="宋体"/>
          <w:color w:val="000000"/>
          <w:sz w:val="18"/>
          <w:szCs w:val="18"/>
        </w:rPr>
        <w:t>因果关系与责任：分析事实上的和法律上的因果关系、举证责任和过失索赔的抗辩。</w:t>
      </w:r>
    </w:p>
    <w:p w14:paraId="52019134" w14:textId="77777777" w:rsidR="002534B9" w:rsidRDefault="00393E23">
      <w:pPr>
        <w:rPr>
          <w:rFonts w:hAnsi="宋体"/>
          <w:color w:val="000000"/>
          <w:sz w:val="18"/>
          <w:szCs w:val="18"/>
        </w:rPr>
      </w:pPr>
      <w:r>
        <w:rPr>
          <w:rFonts w:hAnsi="宋体"/>
          <w:color w:val="000000"/>
          <w:sz w:val="18"/>
          <w:szCs w:val="18"/>
        </w:rPr>
        <w:t>远程医疗与法律挑战：概述远程医疗实践、数据隐私法律、远程咨询中的知情同意和责任问题。</w:t>
      </w:r>
    </w:p>
    <w:p w14:paraId="52019135" w14:textId="77777777" w:rsidR="002534B9" w:rsidRDefault="00393E23">
      <w:pPr>
        <w:rPr>
          <w:rFonts w:hAnsi="宋体"/>
          <w:color w:val="000000"/>
          <w:sz w:val="18"/>
          <w:szCs w:val="18"/>
        </w:rPr>
      </w:pPr>
      <w:r>
        <w:rPr>
          <w:rFonts w:hAnsi="宋体"/>
          <w:color w:val="000000"/>
          <w:sz w:val="18"/>
          <w:szCs w:val="18"/>
        </w:rPr>
        <w:t>法庭程序中的专家证据：专家证据的准备和提出技巧、交叉询问策略以及专家在塑造法律结果中的作用。</w:t>
      </w:r>
    </w:p>
    <w:p w14:paraId="52019136" w14:textId="77777777" w:rsidR="002534B9" w:rsidRDefault="00393E23">
      <w:pPr>
        <w:rPr>
          <w:rFonts w:hAnsi="宋体"/>
          <w:color w:val="000000"/>
          <w:sz w:val="18"/>
          <w:szCs w:val="18"/>
        </w:rPr>
      </w:pPr>
      <w:r>
        <w:rPr>
          <w:rFonts w:hAnsi="宋体"/>
          <w:color w:val="000000"/>
          <w:sz w:val="18"/>
          <w:szCs w:val="18"/>
        </w:rPr>
        <w:t>当代法律医学：讨论医疗保健中的新兴技术、其法律影响以及法律医学在解决道德和法律挑战方面的作用。</w:t>
      </w:r>
    </w:p>
    <w:p w14:paraId="52019137" w14:textId="77777777" w:rsidR="002534B9" w:rsidRDefault="00393E23">
      <w:pPr>
        <w:rPr>
          <w:rFonts w:hAnsi="宋体"/>
          <w:color w:val="000000"/>
          <w:sz w:val="18"/>
          <w:szCs w:val="18"/>
        </w:rPr>
      </w:pPr>
      <w:r>
        <w:rPr>
          <w:rFonts w:hAnsi="宋体"/>
          <w:color w:val="000000"/>
          <w:sz w:val="18"/>
          <w:szCs w:val="18"/>
        </w:rPr>
        <w:t>医疗过失保险与风险管理：研究医疗过失保险政策、风险评估和缓解策略，针对医疗专业人员。</w:t>
      </w:r>
    </w:p>
    <w:p w14:paraId="52019138" w14:textId="77777777" w:rsidR="002534B9" w:rsidRDefault="00393E23">
      <w:pPr>
        <w:rPr>
          <w:rFonts w:hAnsi="宋体"/>
          <w:color w:val="000000"/>
          <w:sz w:val="18"/>
          <w:szCs w:val="18"/>
        </w:rPr>
      </w:pPr>
      <w:r>
        <w:rPr>
          <w:rFonts w:hAnsi="宋体"/>
          <w:color w:val="000000"/>
          <w:sz w:val="18"/>
          <w:szCs w:val="18"/>
        </w:rPr>
        <w:t>法律医学中的职业发展：为对法律医学感兴趣的学生提供职业道路建议、网络机会和专业发展资源。</w:t>
      </w:r>
    </w:p>
    <w:p w14:paraId="52019139" w14:textId="44253EE8" w:rsidR="002534B9" w:rsidRDefault="00393E23">
      <w:pPr>
        <w:spacing w:before="100" w:beforeAutospacing="1" w:after="100" w:afterAutospacing="1"/>
        <w:jc w:val="left"/>
        <w:rPr>
          <w:rFonts w:hAnsi="宋体"/>
          <w:color w:val="000000"/>
          <w:sz w:val="18"/>
          <w:szCs w:val="18"/>
        </w:rPr>
      </w:pPr>
      <w:r>
        <w:rPr>
          <w:rFonts w:hAnsi="宋体"/>
          <w:color w:val="000000"/>
          <w:sz w:val="18"/>
          <w:szCs w:val="18"/>
        </w:rPr>
        <w:t>在法律医学中发表研究：关于撰写研究论文、选择期刊和</w:t>
      </w:r>
      <w:r w:rsidR="002807FF">
        <w:rPr>
          <w:rFonts w:hAnsi="宋体" w:hint="eastAsia"/>
          <w:color w:val="000000"/>
          <w:sz w:val="18"/>
          <w:szCs w:val="18"/>
        </w:rPr>
        <w:t>导引</w:t>
      </w:r>
      <w:r>
        <w:rPr>
          <w:rFonts w:hAnsi="宋体"/>
          <w:color w:val="000000"/>
          <w:sz w:val="18"/>
          <w:szCs w:val="18"/>
        </w:rPr>
        <w:t>出版过程的研讨会。</w:t>
      </w:r>
    </w:p>
    <w:p w14:paraId="5201913A" w14:textId="77777777" w:rsidR="002534B9" w:rsidRDefault="00393E23">
      <w:pPr>
        <w:spacing w:before="100" w:beforeAutospacing="1" w:after="100" w:afterAutospacing="1"/>
        <w:jc w:val="left"/>
        <w:rPr>
          <w:rFonts w:ascii="PingFang-SC-Regular" w:eastAsia="PingFang-SC-Regular" w:hAnsi="PingFang-SC-Regular" w:cs="PingFang-SC-Regular"/>
          <w:sz w:val="22"/>
        </w:rPr>
      </w:pPr>
      <w:r>
        <w:rPr>
          <w:rFonts w:hAnsi="宋体" w:hint="eastAsia"/>
          <w:b/>
          <w:bCs/>
          <w:color w:val="000080"/>
          <w:sz w:val="24"/>
          <w:szCs w:val="24"/>
        </w:rPr>
        <w:lastRenderedPageBreak/>
        <w:t>Content</w:t>
      </w:r>
    </w:p>
    <w:p w14:paraId="5201913B"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Introduction to Negligence in Common Law</w:t>
      </w:r>
      <w:r>
        <w:rPr>
          <w:rFonts w:ascii="PingFang-SC-Regular" w:eastAsia="PingFang-SC-Regular" w:hAnsi="PingFang-SC-Regular" w:cs="PingFang-SC-Regular"/>
          <w:color w:val="05073B"/>
          <w:sz w:val="18"/>
          <w:szCs w:val="18"/>
          <w:shd w:val="clear" w:color="auto" w:fill="FDFDFE"/>
        </w:rPr>
        <w:t>: Overview of negligence principles, historical development, and its significance in modern legal systems.</w:t>
      </w:r>
    </w:p>
    <w:p w14:paraId="5201913C"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Duty of Care Analysis</w:t>
      </w:r>
      <w:r>
        <w:rPr>
          <w:rFonts w:ascii="PingFang-SC-Regular" w:eastAsia="PingFang-SC-Regular" w:hAnsi="PingFang-SC-Regular" w:cs="PingFang-SC-Regular"/>
          <w:color w:val="05073B"/>
          <w:sz w:val="18"/>
          <w:szCs w:val="18"/>
          <w:shd w:val="clear" w:color="auto" w:fill="FDFDFE"/>
        </w:rPr>
        <w:t>: In-depth examination of the elements of duty of care, including foreseeability, proximity, and policy considerations. Case studies and hypothetical scenarios for application.</w:t>
      </w:r>
    </w:p>
    <w:p w14:paraId="5201913D"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Informed Consent and Duty to Warn</w:t>
      </w:r>
      <w:r>
        <w:rPr>
          <w:rFonts w:ascii="PingFang-SC-Regular" w:eastAsia="PingFang-SC-Regular" w:hAnsi="PingFang-SC-Regular" w:cs="PingFang-SC-Regular"/>
          <w:color w:val="05073B"/>
          <w:sz w:val="18"/>
          <w:szCs w:val="18"/>
          <w:shd w:val="clear" w:color="auto" w:fill="FDFDFE"/>
        </w:rPr>
        <w:t>: Discussion of the legal and ethical requirements for informed consent, patient autonomy, and the duty to warn patients of potential risks.</w:t>
      </w:r>
    </w:p>
    <w:p w14:paraId="5201913E"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Causation and Liability</w:t>
      </w:r>
      <w:r>
        <w:rPr>
          <w:rFonts w:ascii="PingFang-SC-Regular" w:eastAsia="PingFang-SC-Regular" w:hAnsi="PingFang-SC-Regular" w:cs="PingFang-SC-Regular"/>
          <w:color w:val="05073B"/>
          <w:sz w:val="18"/>
          <w:szCs w:val="18"/>
          <w:shd w:val="clear" w:color="auto" w:fill="FDFDFE"/>
        </w:rPr>
        <w:t>: Analysis of factual and legal causation, burden of proof, and defenses to negligence claims.</w:t>
      </w:r>
    </w:p>
    <w:p w14:paraId="5201913F"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Telemedicine and Legal Challenges</w:t>
      </w:r>
      <w:r>
        <w:rPr>
          <w:rFonts w:ascii="PingFang-SC-Regular" w:eastAsia="PingFang-SC-Regular" w:hAnsi="PingFang-SC-Regular" w:cs="PingFang-SC-Regular"/>
          <w:color w:val="05073B"/>
          <w:sz w:val="18"/>
          <w:szCs w:val="18"/>
          <w:shd w:val="clear" w:color="auto" w:fill="FDFDFE"/>
        </w:rPr>
        <w:t>: Overview of telemedicine practices, data privacy laws, informed consent in remote consultations, and liability issues.</w:t>
      </w:r>
    </w:p>
    <w:p w14:paraId="52019140"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Expert Evidence in Court Proceedings</w:t>
      </w:r>
      <w:r>
        <w:rPr>
          <w:rFonts w:ascii="PingFang-SC-Regular" w:eastAsia="PingFang-SC-Regular" w:hAnsi="PingFang-SC-Regular" w:cs="PingFang-SC-Regular"/>
          <w:color w:val="05073B"/>
          <w:sz w:val="18"/>
          <w:szCs w:val="18"/>
          <w:shd w:val="clear" w:color="auto" w:fill="FDFDFE"/>
        </w:rPr>
        <w:t>: Techniques for preparing and presenting expert evidence, cross-examination strategies, and the role of experts in shaping legal outcomes.</w:t>
      </w:r>
    </w:p>
    <w:p w14:paraId="52019141"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Legal Medicine in the Contemporary Era</w:t>
      </w:r>
      <w:r>
        <w:rPr>
          <w:rFonts w:ascii="PingFang-SC-Regular" w:eastAsia="PingFang-SC-Regular" w:hAnsi="PingFang-SC-Regular" w:cs="PingFang-SC-Regular"/>
          <w:color w:val="05073B"/>
          <w:sz w:val="18"/>
          <w:szCs w:val="18"/>
          <w:shd w:val="clear" w:color="auto" w:fill="FDFDFE"/>
        </w:rPr>
        <w:t>: Discussion of emerging technologies in healthcare, their legal implications, and the role of legal medicine in addressing ethical and legal challenges.</w:t>
      </w:r>
    </w:p>
    <w:p w14:paraId="52019142"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Medical Malpractice Insurance and Risk Management</w:t>
      </w:r>
      <w:r>
        <w:rPr>
          <w:rFonts w:ascii="PingFang-SC-Regular" w:eastAsia="PingFang-SC-Regular" w:hAnsi="PingFang-SC-Regular" w:cs="PingFang-SC-Regular"/>
          <w:color w:val="05073B"/>
          <w:sz w:val="18"/>
          <w:szCs w:val="18"/>
          <w:shd w:val="clear" w:color="auto" w:fill="FDFDFE"/>
        </w:rPr>
        <w:t>: Examination of malpractice insurance policies, risk assessment, and mitigation strategies for healthcare professionals.</w:t>
      </w:r>
    </w:p>
    <w:p w14:paraId="52019143"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Career Development in Legal Medicine</w:t>
      </w:r>
      <w:r>
        <w:rPr>
          <w:rFonts w:ascii="PingFang-SC-Regular" w:eastAsia="PingFang-SC-Regular" w:hAnsi="PingFang-SC-Regular" w:cs="PingFang-SC-Regular"/>
          <w:color w:val="05073B"/>
          <w:sz w:val="18"/>
          <w:szCs w:val="18"/>
          <w:shd w:val="clear" w:color="auto" w:fill="FDFDFE"/>
        </w:rPr>
        <w:t>: Advice on career paths, networking opportunities, and professional development resources for students interested in legal medicine.</w:t>
      </w:r>
    </w:p>
    <w:p w14:paraId="52019144" w14:textId="77777777" w:rsidR="002534B9" w:rsidRDefault="00393E23">
      <w:pPr>
        <w:pStyle w:val="a6"/>
        <w:widowControl/>
        <w:spacing w:beforeAutospacing="0" w:afterAutospacing="0" w:line="26" w:lineRule="atLeast"/>
        <w:rPr>
          <w:rFonts w:asciiTheme="minorHAnsi" w:hAnsiTheme="minorHAnsi" w:cstheme="minorHAnsi"/>
          <w:color w:val="000000"/>
          <w:sz w:val="18"/>
          <w:szCs w:val="18"/>
        </w:rPr>
      </w:pPr>
      <w:r>
        <w:rPr>
          <w:rStyle w:val="a7"/>
          <w:rFonts w:ascii="Arial" w:eastAsia="Arial" w:hAnsi="Arial" w:cs="Arial"/>
          <w:color w:val="05073B"/>
          <w:sz w:val="18"/>
          <w:szCs w:val="18"/>
          <w:shd w:val="clear" w:color="auto" w:fill="FDFDFE"/>
        </w:rPr>
        <w:t>Publishing Research in Legal Medicine</w:t>
      </w:r>
      <w:r>
        <w:rPr>
          <w:rFonts w:ascii="PingFang-SC-Regular" w:eastAsia="PingFang-SC-Regular" w:hAnsi="PingFang-SC-Regular" w:cs="PingFang-SC-Regular"/>
          <w:color w:val="05073B"/>
          <w:sz w:val="18"/>
          <w:szCs w:val="18"/>
          <w:shd w:val="clear" w:color="auto" w:fill="FDFDFE"/>
        </w:rPr>
        <w:t>: Workshops on writing research papers, selecting journals, and navigating the publication process.</w:t>
      </w:r>
    </w:p>
    <w:sectPr w:rsidR="002534B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95D13" w14:textId="77777777" w:rsidR="005A38B9" w:rsidRDefault="005A38B9">
      <w:pPr>
        <w:spacing w:after="0" w:line="240" w:lineRule="auto"/>
      </w:pPr>
      <w:r>
        <w:separator/>
      </w:r>
    </w:p>
  </w:endnote>
  <w:endnote w:type="continuationSeparator" w:id="0">
    <w:p w14:paraId="6D408AC4" w14:textId="77777777" w:rsidR="005A38B9" w:rsidRDefault="005A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roman"/>
    <w:pitch w:val="default"/>
    <w:sig w:usb0="00000000" w:usb1="00000000" w:usb2="00000000" w:usb3="00000000" w:csb0="00040000" w:csb1="00000000"/>
  </w:font>
  <w:font w:name="PingFang-SC-Regular">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9145" w14:textId="77777777" w:rsidR="002534B9" w:rsidRDefault="00393E23">
    <w:pPr>
      <w:pStyle w:val="a3"/>
      <w:jc w:val="right"/>
    </w:pPr>
    <w:r>
      <w:fldChar w:fldCharType="begin"/>
    </w:r>
    <w:r>
      <w:instrText xml:space="preserve"> PAGE   \* MERGEFORMAT </w:instrText>
    </w:r>
    <w:r>
      <w:fldChar w:fldCharType="separate"/>
    </w:r>
    <w:r>
      <w:rPr>
        <w:lang w:val="zh-CN"/>
      </w:rPr>
      <w:t>1</w:t>
    </w:r>
    <w:r>
      <w:fldChar w:fldCharType="end"/>
    </w:r>
  </w:p>
  <w:p w14:paraId="52019146" w14:textId="77777777" w:rsidR="002534B9" w:rsidRDefault="00253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DF4F6" w14:textId="77777777" w:rsidR="005A38B9" w:rsidRDefault="005A38B9">
      <w:pPr>
        <w:spacing w:after="0" w:line="240" w:lineRule="auto"/>
      </w:pPr>
      <w:r>
        <w:separator/>
      </w:r>
    </w:p>
  </w:footnote>
  <w:footnote w:type="continuationSeparator" w:id="0">
    <w:p w14:paraId="68AE06CD" w14:textId="77777777" w:rsidR="005A38B9" w:rsidRDefault="005A3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B81E07"/>
    <w:rsid w:val="C79B3E57"/>
    <w:rsid w:val="E9EE5F6E"/>
    <w:rsid w:val="EDBC945F"/>
    <w:rsid w:val="000201F8"/>
    <w:rsid w:val="00051883"/>
    <w:rsid w:val="001161ED"/>
    <w:rsid w:val="00157A05"/>
    <w:rsid w:val="00182811"/>
    <w:rsid w:val="002534B9"/>
    <w:rsid w:val="002807FF"/>
    <w:rsid w:val="002D13FC"/>
    <w:rsid w:val="00393E23"/>
    <w:rsid w:val="003C1292"/>
    <w:rsid w:val="003C1935"/>
    <w:rsid w:val="004E47CE"/>
    <w:rsid w:val="005130FA"/>
    <w:rsid w:val="005A38B9"/>
    <w:rsid w:val="005D227F"/>
    <w:rsid w:val="00605CC2"/>
    <w:rsid w:val="00670266"/>
    <w:rsid w:val="00752767"/>
    <w:rsid w:val="0088218B"/>
    <w:rsid w:val="008D48FE"/>
    <w:rsid w:val="008D7926"/>
    <w:rsid w:val="008E5DCD"/>
    <w:rsid w:val="00971C10"/>
    <w:rsid w:val="009F42D7"/>
    <w:rsid w:val="00AA3CCE"/>
    <w:rsid w:val="00AF7CC3"/>
    <w:rsid w:val="00B35011"/>
    <w:rsid w:val="00B565F6"/>
    <w:rsid w:val="00BA35BA"/>
    <w:rsid w:val="00CE11BC"/>
    <w:rsid w:val="00D24403"/>
    <w:rsid w:val="00E84512"/>
    <w:rsid w:val="00E91D4F"/>
    <w:rsid w:val="00F04E5B"/>
    <w:rsid w:val="00F21BB5"/>
    <w:rsid w:val="00F22DF9"/>
    <w:rsid w:val="00F359F2"/>
    <w:rsid w:val="00FC53C4"/>
    <w:rsid w:val="3EBF7A78"/>
    <w:rsid w:val="50B81E07"/>
    <w:rsid w:val="69E3037E"/>
    <w:rsid w:val="765FF55E"/>
    <w:rsid w:val="7DF3C0CA"/>
    <w:rsid w:val="7E7E3D06"/>
    <w:rsid w:val="7FCF3EFD"/>
    <w:rsid w:val="7FDDA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19106"/>
  <w15:docId w15:val="{8CCF0DAE-6EDF-4FA6-92E6-C3FC3824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pPr>
      <w:tabs>
        <w:tab w:val="center" w:pos="4153"/>
        <w:tab w:val="right" w:pos="8306"/>
      </w:tabs>
      <w:snapToGrid w:val="0"/>
      <w:jc w:val="center"/>
    </w:pPr>
    <w:rPr>
      <w:sz w:val="18"/>
      <w:szCs w:val="18"/>
    </w:rPr>
  </w:style>
  <w:style w:type="paragraph" w:styleId="a6">
    <w:name w:val="Normal (Web)"/>
    <w:basedOn w:val="a"/>
    <w:pPr>
      <w:spacing w:beforeAutospacing="1" w:after="0" w:afterAutospacing="1"/>
      <w:jc w:val="left"/>
    </w:pPr>
    <w:rPr>
      <w:kern w:val="0"/>
      <w:sz w:val="24"/>
    </w:rPr>
  </w:style>
  <w:style w:type="character" w:styleId="a7">
    <w:name w:val="Strong"/>
    <w:basedOn w:val="a0"/>
    <w:qFormat/>
    <w:rPr>
      <w:b/>
    </w:rPr>
  </w:style>
  <w:style w:type="character" w:customStyle="1" w:styleId="a5">
    <w:name w:val="页眉 字符"/>
    <w:basedOn w:val="a0"/>
    <w:link w:val="a4"/>
    <w:rPr>
      <w:rFonts w:ascii="Times New Roman" w:eastAsia="宋体" w:hAnsi="Times New Roman" w:cs="Times New Roman"/>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dc:creator>
  <cp:lastModifiedBy>煜鹏 陈</cp:lastModifiedBy>
  <cp:revision>4</cp:revision>
  <dcterms:created xsi:type="dcterms:W3CDTF">2023-12-15T09:59:00Z</dcterms:created>
  <dcterms:modified xsi:type="dcterms:W3CDTF">2024-08-29T12:00:00Z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