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0"/>
        <w:jc w:val="center"/>
        <w:textAlignment w:val="baseline"/>
        <w:rPr>
          <w:rFonts w:ascii="Tahoma" w:hAnsi="Tahoma" w:eastAsia="Tahoma" w:cs="Tahoma"/>
          <w:caps w:val="0"/>
          <w:color w:val="333333"/>
          <w:spacing w:val="0"/>
          <w:sz w:val="21"/>
          <w:szCs w:val="21"/>
        </w:rPr>
      </w:pPr>
      <w:r>
        <w:rPr>
          <w:rFonts w:ascii="Calibri" w:hAnsi="Calibri" w:eastAsia="Calibri" w:cs="Calibri"/>
          <w:caps w:val="0"/>
          <w:color w:val="333333"/>
          <w:spacing w:val="0"/>
          <w:kern w:val="0"/>
          <w:sz w:val="33"/>
          <w:szCs w:val="33"/>
          <w:shd w:val="clear" w:fill="FFFFFF"/>
          <w:vertAlign w:val="baseline"/>
          <w:lang w:val="en-US" w:eastAsia="zh-CN" w:bidi="ar"/>
        </w:rPr>
        <w:t>华东政法大学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0"/>
        <w:jc w:val="center"/>
        <w:textAlignment w:val="baseline"/>
        <w:rPr>
          <w:rFonts w:hint="default" w:ascii="Tahoma" w:hAnsi="Tahoma" w:eastAsia="Tahoma" w:cs="Tahoma"/>
          <w:caps w:val="0"/>
          <w:color w:val="333333"/>
          <w:spacing w:val="0"/>
          <w:sz w:val="21"/>
          <w:szCs w:val="21"/>
        </w:rPr>
      </w:pPr>
      <w:r>
        <w:rPr>
          <w:rFonts w:ascii="Arial" w:hAnsi="Arial" w:eastAsia="Tahoma" w:cs="Arial"/>
          <w:caps w:val="0"/>
          <w:color w:val="333333"/>
          <w:spacing w:val="0"/>
          <w:kern w:val="0"/>
          <w:sz w:val="33"/>
          <w:szCs w:val="33"/>
          <w:shd w:val="clear" w:fill="FFFFFF"/>
          <w:vertAlign w:val="baseline"/>
          <w:lang w:val="en-US" w:eastAsia="zh-CN" w:bidi="ar"/>
        </w:rPr>
        <w:t>202</w:t>
      </w:r>
      <w:r>
        <w:rPr>
          <w:rFonts w:hint="eastAsia" w:ascii="Arial" w:hAnsi="Arial" w:eastAsia="Tahoma" w:cs="Arial"/>
          <w:caps w:val="0"/>
          <w:color w:val="333333"/>
          <w:spacing w:val="0"/>
          <w:kern w:val="0"/>
          <w:sz w:val="33"/>
          <w:szCs w:val="33"/>
          <w:shd w:val="clear" w:fill="FFFFFF"/>
          <w:vertAlign w:val="baseline"/>
          <w:lang w:val="en-US" w:eastAsia="zh-CN" w:bidi="ar"/>
        </w:rPr>
        <w:t>2</w:t>
      </w:r>
      <w:r>
        <w:rPr>
          <w:rFonts w:hint="default" w:ascii="Calibri" w:hAnsi="Calibri" w:eastAsia="Calibri" w:cs="Calibri"/>
          <w:caps w:val="0"/>
          <w:color w:val="333333"/>
          <w:spacing w:val="0"/>
          <w:kern w:val="0"/>
          <w:sz w:val="33"/>
          <w:szCs w:val="33"/>
          <w:shd w:val="clear" w:fill="FFFFFF"/>
          <w:vertAlign w:val="baseline"/>
          <w:lang w:val="en-US" w:eastAsia="zh-CN" w:bidi="ar"/>
        </w:rPr>
        <w:t>年港澳台研究生招生考试方案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ascii="微软雅黑" w:hAnsi="微软雅黑" w:eastAsia="微软雅黑" w:cs="微软雅黑"/>
          <w:caps w:val="0"/>
          <w:color w:val="333333"/>
          <w:spacing w:val="0"/>
          <w:kern w:val="0"/>
          <w:sz w:val="24"/>
          <w:szCs w:val="24"/>
          <w:shd w:val="clear" w:fill="FFFFFF"/>
          <w:vertAlign w:val="baseli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textAlignment w:val="baseline"/>
        <w:rPr>
          <w:rFonts w:ascii="Tahoma" w:hAnsi="Tahoma" w:eastAsia="Tahoma" w:cs="Tahoma"/>
          <w:i w:val="0"/>
          <w:iCs w:val="0"/>
          <w:caps w:val="0"/>
          <w:color w:val="333333"/>
          <w:spacing w:val="0"/>
          <w:sz w:val="18"/>
          <w:szCs w:val="18"/>
        </w:rPr>
      </w:pPr>
      <w:r>
        <w:rPr>
          <w:rStyle w:val="9"/>
          <w:rFonts w:ascii="仿宋_gb2312" w:hAnsi="仿宋_gb2312" w:eastAsia="仿宋_gb2312" w:cs="仿宋_gb2312"/>
          <w:b/>
          <w:i w:val="0"/>
          <w:iCs w:val="0"/>
          <w:caps w:val="0"/>
          <w:color w:val="333333"/>
          <w:spacing w:val="0"/>
          <w:sz w:val="28"/>
          <w:szCs w:val="28"/>
          <w:shd w:val="clear" w:fill="FFFFFF"/>
          <w:vertAlign w:val="baseline"/>
        </w:rPr>
        <w:t>    </w:t>
      </w:r>
      <w:r>
        <w:rPr>
          <w:rFonts w:hint="default" w:ascii="仿宋_gb2312" w:hAnsi="仿宋_gb2312" w:eastAsia="仿宋_gb2312" w:cs="仿宋_gb2312"/>
          <w:b w:val="0"/>
          <w:bCs w:val="0"/>
          <w:i w:val="0"/>
          <w:iCs w:val="0"/>
          <w:caps w:val="0"/>
          <w:color w:val="333333"/>
          <w:spacing w:val="0"/>
          <w:sz w:val="31"/>
          <w:szCs w:val="31"/>
          <w:shd w:val="clear" w:fill="FFFFFF"/>
          <w:vertAlign w:val="baseline"/>
        </w:rPr>
        <w:t>根据教育部部署202</w:t>
      </w:r>
      <w:r>
        <w:rPr>
          <w:rFonts w:hint="eastAsia" w:ascii="仿宋_gb2312" w:hAnsi="仿宋_gb2312" w:eastAsia="仿宋_gb2312" w:cs="仿宋_gb2312"/>
          <w:b w:val="0"/>
          <w:bCs w:val="0"/>
          <w:i w:val="0"/>
          <w:iCs w:val="0"/>
          <w:caps w:val="0"/>
          <w:color w:val="333333"/>
          <w:spacing w:val="0"/>
          <w:sz w:val="31"/>
          <w:szCs w:val="31"/>
          <w:shd w:val="clear" w:fill="FFFFFF"/>
          <w:vertAlign w:val="baseline"/>
          <w:lang w:val="en-US" w:eastAsia="zh-CN"/>
        </w:rPr>
        <w:t>2</w:t>
      </w:r>
      <w:r>
        <w:rPr>
          <w:rFonts w:hint="default" w:ascii="仿宋_gb2312" w:hAnsi="仿宋_gb2312" w:eastAsia="仿宋_gb2312" w:cs="仿宋_gb2312"/>
          <w:b w:val="0"/>
          <w:bCs w:val="0"/>
          <w:i w:val="0"/>
          <w:iCs w:val="0"/>
          <w:caps w:val="0"/>
          <w:color w:val="333333"/>
          <w:spacing w:val="0"/>
          <w:sz w:val="31"/>
          <w:szCs w:val="31"/>
          <w:shd w:val="clear" w:fill="FFFFFF"/>
          <w:vertAlign w:val="baseline"/>
        </w:rPr>
        <w:t>年面向港澳台地区招收研究生工作要求，按照安全、科学、公平、规范的原则，我校202</w:t>
      </w:r>
      <w:r>
        <w:rPr>
          <w:rFonts w:hint="eastAsia" w:ascii="仿宋_gb2312" w:hAnsi="仿宋_gb2312" w:eastAsia="仿宋_gb2312" w:cs="仿宋_gb2312"/>
          <w:b w:val="0"/>
          <w:bCs w:val="0"/>
          <w:i w:val="0"/>
          <w:iCs w:val="0"/>
          <w:caps w:val="0"/>
          <w:color w:val="333333"/>
          <w:spacing w:val="0"/>
          <w:sz w:val="31"/>
          <w:szCs w:val="31"/>
          <w:shd w:val="clear" w:fill="FFFFFF"/>
          <w:vertAlign w:val="baseline"/>
          <w:lang w:val="en-US" w:eastAsia="zh-CN"/>
        </w:rPr>
        <w:t>2</w:t>
      </w:r>
      <w:r>
        <w:rPr>
          <w:rFonts w:hint="default" w:ascii="仿宋_gb2312" w:hAnsi="仿宋_gb2312" w:eastAsia="仿宋_gb2312" w:cs="仿宋_gb2312"/>
          <w:b w:val="0"/>
          <w:bCs w:val="0"/>
          <w:i w:val="0"/>
          <w:iCs w:val="0"/>
          <w:caps w:val="0"/>
          <w:color w:val="333333"/>
          <w:spacing w:val="0"/>
          <w:sz w:val="31"/>
          <w:szCs w:val="31"/>
          <w:shd w:val="clear" w:fill="FFFFFF"/>
          <w:vertAlign w:val="baseline"/>
        </w:rPr>
        <w:t>年港澳台研究生招生统一考试形式为网络远程考核方式。为稳妥做好港澳台研究生招生工作，特制定如下招生方案：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一、</w:t>
      </w:r>
      <w:r>
        <w:rPr>
          <w:rFonts w:hint="default" w:ascii="Calibri" w:hAnsi="Calibri" w:eastAsia="Calibri" w:cs="Calibri"/>
          <w:caps w:val="0"/>
          <w:color w:val="333333"/>
          <w:spacing w:val="0"/>
          <w:kern w:val="0"/>
          <w:sz w:val="31"/>
          <w:szCs w:val="31"/>
          <w:shd w:val="clear" w:fill="FFFFFF"/>
          <w:vertAlign w:val="baseline"/>
          <w:lang w:val="en-US" w:eastAsia="zh-CN" w:bidi="ar"/>
        </w:rPr>
        <w:t> </w:t>
      </w: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工作原则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0"/>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sz w:val="31"/>
          <w:szCs w:val="31"/>
          <w:shd w:val="clear" w:fill="FFFFFF"/>
          <w:vertAlign w:val="baseline"/>
        </w:rPr>
        <w:t>    坚持安全第一、公平公正、科学选拔、全面考察、客观评价、公开透明的原则。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二、组织机构及职责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（一）学校研究生招生工作领导小组负责港澳台研究生招生考试和录取工作。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（二）学校招生监察工作小组监督港澳台研究生招生工作。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（三）学院成立港澳台研究生招生工作小组，主要负责同志是第一责任人，组织协调本学院各学科专业招生工作。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仿宋_gb2312" w:hAnsi="仿宋_gb2312" w:eastAsia="仿宋_gb2312" w:cs="仿宋_gb2312"/>
          <w:caps w:val="0"/>
          <w:color w:val="333333"/>
          <w:spacing w:val="0"/>
          <w:sz w:val="31"/>
          <w:szCs w:val="31"/>
          <w:shd w:val="clear" w:fill="FFFFFF"/>
          <w:vertAlign w:val="baseline"/>
        </w:rPr>
      </w:pPr>
      <w:r>
        <w:rPr>
          <w:rFonts w:hint="default" w:ascii="仿宋_gb2312" w:hAnsi="仿宋_gb2312" w:eastAsia="仿宋_gb2312" w:cs="仿宋_gb2312"/>
          <w:caps w:val="0"/>
          <w:color w:val="333333"/>
          <w:spacing w:val="0"/>
          <w:sz w:val="31"/>
          <w:szCs w:val="31"/>
          <w:shd w:val="clear" w:fill="FFFFFF"/>
          <w:vertAlign w:val="baseline"/>
        </w:rPr>
        <w:t>（四）学科专业导师组在学院指导下成立港澳台研究生网络远程考核工作小组，负责本学科考生资格审查及考核工作。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sz w:val="31"/>
          <w:szCs w:val="31"/>
          <w:shd w:val="clear" w:fill="FFFFFF"/>
          <w:vertAlign w:val="baseline"/>
        </w:rPr>
        <w:t>（五）研究生招生部门负责港澳台研究生招生考试方案制定与发布，统筹协调各学院考试录取工作，制定考试期间突发事件的应急预案并协同相关部门处理。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10" w:firstLineChars="100"/>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sz w:val="31"/>
          <w:szCs w:val="31"/>
          <w:shd w:val="clear" w:fill="FFFFFF"/>
          <w:vertAlign w:val="baseline"/>
        </w:rPr>
        <w:t>   （六）信息化办公室负责网络远程复试技术指导，确保满足网络远程复试的软硬件要求。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三、考生资格复查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学院在考核前对考生进行资格审查。请考生按要求提交材料，材料的扫描件按序整理成一个PDF文件，文件名为“报考专业+准考证号+姓名”，首页做好目录，将材料发送到学院指定邮箱。</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1260" w:right="225" w:hanging="855"/>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sz w:val="31"/>
          <w:szCs w:val="31"/>
          <w:shd w:val="clear" w:fill="FFFFFF"/>
          <w:vertAlign w:val="baseline"/>
        </w:rPr>
        <w:t>（一） 有效身份证件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225" w:firstLine="0"/>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sz w:val="31"/>
          <w:szCs w:val="31"/>
          <w:shd w:val="clear" w:fill="FFFFFF"/>
          <w:vertAlign w:val="baseline"/>
        </w:rPr>
        <w:t> </w:t>
      </w:r>
      <w:r>
        <w:rPr>
          <w:rFonts w:hint="eastAsia" w:ascii="仿宋_gb2312" w:hAnsi="仿宋_gb2312" w:eastAsia="仿宋_gb2312" w:cs="仿宋_gb2312"/>
          <w:caps w:val="0"/>
          <w:color w:val="333333"/>
          <w:spacing w:val="0"/>
          <w:sz w:val="31"/>
          <w:szCs w:val="31"/>
          <w:shd w:val="clear" w:fill="FFFFFF"/>
          <w:vertAlign w:val="baseline"/>
          <w:lang w:val="en-US" w:eastAsia="zh-CN"/>
        </w:rPr>
        <w:t xml:space="preserve">  </w:t>
      </w:r>
      <w:r>
        <w:rPr>
          <w:rFonts w:hint="default" w:ascii="仿宋_gb2312" w:hAnsi="仿宋_gb2312" w:eastAsia="仿宋_gb2312" w:cs="仿宋_gb2312"/>
          <w:caps w:val="0"/>
          <w:color w:val="333333"/>
          <w:spacing w:val="0"/>
          <w:sz w:val="31"/>
          <w:szCs w:val="31"/>
          <w:shd w:val="clear" w:fill="FFFFFF"/>
          <w:vertAlign w:val="baseline"/>
        </w:rPr>
        <w:t>  1．港澳地区考生：①香港或澳门永久性居民身份证 ②《港澳居民来往内地通行证》或《港澳居民居住证》。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225" w:firstLine="0"/>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sz w:val="31"/>
          <w:szCs w:val="31"/>
          <w:shd w:val="clear" w:fill="FFFFFF"/>
          <w:vertAlign w:val="baseline"/>
        </w:rPr>
        <w:t>  </w:t>
      </w:r>
      <w:r>
        <w:rPr>
          <w:rFonts w:hint="eastAsia" w:ascii="仿宋_gb2312" w:hAnsi="仿宋_gb2312" w:eastAsia="仿宋_gb2312" w:cs="仿宋_gb2312"/>
          <w:caps w:val="0"/>
          <w:color w:val="333333"/>
          <w:spacing w:val="0"/>
          <w:sz w:val="31"/>
          <w:szCs w:val="31"/>
          <w:shd w:val="clear" w:fill="FFFFFF"/>
          <w:vertAlign w:val="baseline"/>
          <w:lang w:val="en-US" w:eastAsia="zh-CN"/>
        </w:rPr>
        <w:t xml:space="preserve">  </w:t>
      </w:r>
      <w:r>
        <w:rPr>
          <w:rFonts w:hint="default" w:ascii="仿宋_gb2312" w:hAnsi="仿宋_gb2312" w:eastAsia="仿宋_gb2312" w:cs="仿宋_gb2312"/>
          <w:caps w:val="0"/>
          <w:color w:val="333333"/>
          <w:spacing w:val="0"/>
          <w:sz w:val="31"/>
          <w:szCs w:val="31"/>
          <w:shd w:val="clear" w:fill="FFFFFF"/>
          <w:vertAlign w:val="baseline"/>
        </w:rPr>
        <w:t> 2．台湾地区考生：①在台湾居住的有效身份证明和②《台湾居民来往大陆通行证》或《台湾居民居住证》。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1260" w:right="0" w:hanging="855"/>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（二） 准考证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7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考生可登陆中国研究生招生信息网港澳台招生平台</w:t>
      </w:r>
      <w:r>
        <w:rPr>
          <w:rFonts w:hint="eastAsia" w:ascii="微软雅黑" w:hAnsi="微软雅黑" w:eastAsia="微软雅黑" w:cs="微软雅黑"/>
          <w:caps w:val="0"/>
          <w:color w:val="333333"/>
          <w:spacing w:val="0"/>
          <w:kern w:val="0"/>
          <w:sz w:val="21"/>
          <w:szCs w:val="21"/>
          <w:u w:val="none"/>
          <w:shd w:val="clear" w:fill="FFFFFF"/>
          <w:vertAlign w:val="baseline"/>
          <w:lang w:val="en-US" w:eastAsia="zh-CN" w:bidi="ar"/>
        </w:rPr>
        <w:fldChar w:fldCharType="begin"/>
      </w:r>
      <w:r>
        <w:rPr>
          <w:rFonts w:hint="eastAsia" w:ascii="微软雅黑" w:hAnsi="微软雅黑" w:eastAsia="微软雅黑" w:cs="微软雅黑"/>
          <w:caps w:val="0"/>
          <w:color w:val="333333"/>
          <w:spacing w:val="0"/>
          <w:kern w:val="0"/>
          <w:sz w:val="21"/>
          <w:szCs w:val="21"/>
          <w:u w:val="none"/>
          <w:shd w:val="clear" w:fill="FFFFFF"/>
          <w:vertAlign w:val="baseline"/>
          <w:lang w:val="en-US" w:eastAsia="zh-CN" w:bidi="ar"/>
        </w:rPr>
        <w:instrText xml:space="preserve"> HYPERLINK "https://www.gatzs.com.cn/" </w:instrText>
      </w:r>
      <w:r>
        <w:rPr>
          <w:rFonts w:hint="eastAsia" w:ascii="微软雅黑" w:hAnsi="微软雅黑" w:eastAsia="微软雅黑" w:cs="微软雅黑"/>
          <w:caps w:val="0"/>
          <w:color w:val="333333"/>
          <w:spacing w:val="0"/>
          <w:kern w:val="0"/>
          <w:sz w:val="21"/>
          <w:szCs w:val="21"/>
          <w:u w:val="none"/>
          <w:shd w:val="clear" w:fill="FFFFFF"/>
          <w:vertAlign w:val="baseline"/>
          <w:lang w:val="en-US" w:eastAsia="zh-CN" w:bidi="ar"/>
        </w:rPr>
        <w:fldChar w:fldCharType="separate"/>
      </w:r>
      <w:r>
        <w:rPr>
          <w:rStyle w:val="10"/>
          <w:rFonts w:hint="eastAsia" w:ascii="微软雅黑" w:hAnsi="微软雅黑" w:eastAsia="微软雅黑" w:cs="微软雅黑"/>
          <w:caps w:val="0"/>
          <w:color w:val="333333"/>
          <w:spacing w:val="0"/>
          <w:sz w:val="31"/>
          <w:szCs w:val="31"/>
          <w:u w:val="single"/>
          <w:shd w:val="clear" w:fill="FFFFFF"/>
          <w:vertAlign w:val="baseline"/>
        </w:rPr>
        <w:t>https://www.gatzs.com.cn/</w:t>
      </w:r>
      <w:r>
        <w:rPr>
          <w:rFonts w:hint="eastAsia" w:ascii="微软雅黑" w:hAnsi="微软雅黑" w:eastAsia="微软雅黑" w:cs="微软雅黑"/>
          <w:caps w:val="0"/>
          <w:color w:val="333333"/>
          <w:spacing w:val="0"/>
          <w:kern w:val="0"/>
          <w:sz w:val="21"/>
          <w:szCs w:val="21"/>
          <w:u w:val="none"/>
          <w:shd w:val="clear" w:fill="FFFFFF"/>
          <w:vertAlign w:val="baseline"/>
          <w:lang w:val="en-US" w:eastAsia="zh-CN" w:bidi="ar"/>
        </w:rPr>
        <w:fldChar w:fldCharType="end"/>
      </w: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下载。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135" w:right="0" w:firstLine="27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（三） 学士学位证书或硕士学位证书（应届毕业生可于录取前补交，但须提交应届在读证明原件）或同等学历文凭。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135" w:right="0" w:firstLine="27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（四） 推荐信（两名报考专业相关领域的专家推荐信）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135" w:right="0" w:firstLine="27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（五） 本科或硕士阶段成绩单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135" w:right="0" w:firstLine="27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（六） 各类证书和成绩单（如托福、雅思成绩单等）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right="0" w:firstLine="620" w:firstLineChars="20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（七） 博士考生还需提交硕士学位论文、攻博个人研修计划以及公开发表的学术论文、所获专利及其他原创性研究成果的证明材料。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  </w:t>
      </w:r>
      <w:r>
        <w:rPr>
          <w:rFonts w:hint="eastAsia" w:ascii="仿宋_gb2312" w:hAnsi="仿宋_gb2312" w:eastAsia="仿宋_gb2312" w:cs="仿宋_gb2312"/>
          <w:caps w:val="0"/>
          <w:color w:val="333333"/>
          <w:spacing w:val="0"/>
          <w:kern w:val="0"/>
          <w:sz w:val="31"/>
          <w:szCs w:val="31"/>
          <w:shd w:val="clear" w:fill="FFFFFF"/>
          <w:vertAlign w:val="baseline"/>
          <w:lang w:val="en-US" w:eastAsia="zh-CN" w:bidi="ar"/>
        </w:rPr>
        <w:t xml:space="preserve">   </w:t>
      </w: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学院安排专人对考生的材料进行审核，经资格审查合格的考生，方可进入网络远程考核环节。未提交资格审查材料的考生，视为自动放弃考试资格。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7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考生提交的以上所有申请材料如有弄虚作假的，取消考试资格；已被录取的，取消录取资格。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四、网络远程考核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（一）考核科目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外国语、两门业务课以及综合能力测试等四个科目，考核内容参考《华东政法大学202</w:t>
      </w:r>
      <w:r>
        <w:rPr>
          <w:rFonts w:hint="eastAsia" w:ascii="仿宋_gb2312" w:hAnsi="仿宋_gb2312" w:eastAsia="仿宋_gb2312" w:cs="仿宋_gb2312"/>
          <w:caps w:val="0"/>
          <w:color w:val="333333"/>
          <w:spacing w:val="0"/>
          <w:kern w:val="0"/>
          <w:sz w:val="31"/>
          <w:szCs w:val="31"/>
          <w:shd w:val="clear" w:fill="FFFFFF"/>
          <w:vertAlign w:val="baseline"/>
          <w:lang w:val="en-US" w:eastAsia="zh-CN" w:bidi="ar"/>
        </w:rPr>
        <w:t>2</w:t>
      </w: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年招收香港、澳门、台湾地区研究生专业目录》。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（二）考核时间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    </w:t>
      </w:r>
      <w:r>
        <w:rPr>
          <w:rFonts w:hint="eastAsia" w:ascii="仿宋_gb2312" w:hAnsi="仿宋_gb2312" w:eastAsia="仿宋_gb2312" w:cs="仿宋_gb2312"/>
          <w:caps w:val="0"/>
          <w:color w:val="333333"/>
          <w:spacing w:val="0"/>
          <w:kern w:val="0"/>
          <w:sz w:val="31"/>
          <w:szCs w:val="31"/>
          <w:shd w:val="clear" w:fill="FFFFFF"/>
          <w:vertAlign w:val="baseline"/>
          <w:lang w:val="en-US" w:eastAsia="zh-CN" w:bidi="ar"/>
        </w:rPr>
        <w:t xml:space="preserve">  </w:t>
      </w: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模拟</w:t>
      </w:r>
      <w:r>
        <w:rPr>
          <w:rFonts w:hint="eastAsia" w:ascii="仿宋_gb2312" w:hAnsi="仿宋_gb2312" w:eastAsia="仿宋_gb2312" w:cs="仿宋_gb2312"/>
          <w:caps w:val="0"/>
          <w:color w:val="333333"/>
          <w:spacing w:val="0"/>
          <w:kern w:val="0"/>
          <w:sz w:val="31"/>
          <w:szCs w:val="31"/>
          <w:shd w:val="clear" w:fill="FFFFFF"/>
          <w:vertAlign w:val="baseline"/>
          <w:lang w:val="en-US" w:eastAsia="zh-CN" w:bidi="ar"/>
        </w:rPr>
        <w:t>演练</w:t>
      </w: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和正式考核工作</w:t>
      </w:r>
      <w:r>
        <w:rPr>
          <w:rFonts w:hint="eastAsia" w:ascii="仿宋_gb2312" w:hAnsi="仿宋_gb2312" w:eastAsia="仿宋_gb2312" w:cs="仿宋_gb2312"/>
          <w:caps w:val="0"/>
          <w:color w:val="333333"/>
          <w:spacing w:val="0"/>
          <w:kern w:val="0"/>
          <w:sz w:val="31"/>
          <w:szCs w:val="31"/>
          <w:shd w:val="clear" w:fill="FFFFFF"/>
          <w:vertAlign w:val="baseline"/>
          <w:lang w:val="en-US" w:eastAsia="zh-CN" w:bidi="ar"/>
        </w:rPr>
        <w:t>在4月29日</w:t>
      </w: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前完成。具体考核时间由相关学院通知。请考生关注学院发布的信息。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考核形式为“网络远程面试”，考核过程全程录音录像可追溯。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textAlignment w:val="baseline"/>
        <w:rPr>
          <w:rFonts w:hint="eastAsia" w:ascii="Tahoma" w:hAnsi="Tahoma" w:eastAsia="仿宋_gb2312" w:cs="Tahoma"/>
          <w:i w:val="0"/>
          <w:iCs w:val="0"/>
          <w:caps w:val="0"/>
          <w:color w:val="333333"/>
          <w:spacing w:val="0"/>
          <w:sz w:val="18"/>
          <w:szCs w:val="18"/>
          <w:lang w:eastAsia="zh-CN"/>
        </w:rPr>
      </w:pPr>
      <w:r>
        <w:rPr>
          <w:rFonts w:hint="default" w:ascii="仿宋_gb2312" w:hAnsi="仿宋_gb2312" w:eastAsia="仿宋_gb2312" w:cs="仿宋_gb2312"/>
          <w:b w:val="0"/>
          <w:bCs w:val="0"/>
          <w:i w:val="0"/>
          <w:iCs w:val="0"/>
          <w:caps w:val="0"/>
          <w:color w:val="333333"/>
          <w:spacing w:val="0"/>
          <w:sz w:val="31"/>
          <w:szCs w:val="31"/>
          <w:shd w:val="clear" w:fill="FFFFFF"/>
          <w:vertAlign w:val="baseline"/>
        </w:rPr>
        <w:t>    四个科目面试时间一般不少于40分钟。考生考核采用双机位，主机位使用</w:t>
      </w:r>
      <w:r>
        <w:rPr>
          <w:rFonts w:hint="eastAsia" w:ascii="仿宋_gb2312" w:hAnsi="仿宋_gb2312" w:eastAsia="仿宋_gb2312" w:cs="仿宋_gb2312"/>
          <w:b w:val="0"/>
          <w:bCs w:val="0"/>
          <w:i w:val="0"/>
          <w:iCs w:val="0"/>
          <w:caps w:val="0"/>
          <w:color w:val="333333"/>
          <w:spacing w:val="0"/>
          <w:sz w:val="31"/>
          <w:szCs w:val="31"/>
          <w:shd w:val="clear" w:fill="FFFFFF"/>
          <w:vertAlign w:val="baseline"/>
          <w:lang w:val="en-US" w:eastAsia="zh-CN"/>
        </w:rPr>
        <w:t>腾讯会议</w:t>
      </w:r>
      <w:r>
        <w:rPr>
          <w:rFonts w:hint="default" w:ascii="仿宋_gb2312" w:hAnsi="仿宋_gb2312" w:eastAsia="仿宋_gb2312" w:cs="仿宋_gb2312"/>
          <w:b w:val="0"/>
          <w:bCs w:val="0"/>
          <w:i w:val="0"/>
          <w:iCs w:val="0"/>
          <w:caps w:val="0"/>
          <w:color w:val="333333"/>
          <w:spacing w:val="0"/>
          <w:sz w:val="31"/>
          <w:szCs w:val="31"/>
          <w:shd w:val="clear" w:fill="FFFFFF"/>
          <w:vertAlign w:val="baseline"/>
        </w:rPr>
        <w:t>用于复试，辅机位使用华东政法大学研究生在线面试平台用于监控复试环境，设备具体使用办法和操作要求可参见《</w:t>
      </w:r>
      <w:r>
        <w:rPr>
          <w:rFonts w:hint="eastAsia" w:ascii="仿宋_gb2312" w:hAnsi="仿宋_gb2312" w:eastAsia="仿宋_gb2312" w:cs="仿宋_gb2312"/>
          <w:b w:val="0"/>
          <w:bCs w:val="0"/>
          <w:i w:val="0"/>
          <w:iCs w:val="0"/>
          <w:caps w:val="0"/>
          <w:color w:val="333333"/>
          <w:spacing w:val="0"/>
          <w:sz w:val="31"/>
          <w:szCs w:val="31"/>
          <w:shd w:val="clear" w:fill="FFFFFF"/>
          <w:vertAlign w:val="baseline"/>
          <w:lang w:val="en-US" w:eastAsia="zh-CN"/>
        </w:rPr>
        <w:t>华东政法大学2022年博士</w:t>
      </w:r>
      <w:bookmarkStart w:id="0" w:name="_GoBack"/>
      <w:bookmarkEnd w:id="0"/>
      <w:r>
        <w:rPr>
          <w:rFonts w:hint="eastAsia" w:ascii="仿宋_gb2312" w:hAnsi="仿宋_gb2312" w:eastAsia="仿宋_gb2312" w:cs="仿宋_gb2312"/>
          <w:b w:val="0"/>
          <w:bCs w:val="0"/>
          <w:i w:val="0"/>
          <w:iCs w:val="0"/>
          <w:caps w:val="0"/>
          <w:color w:val="333333"/>
          <w:spacing w:val="0"/>
          <w:sz w:val="31"/>
          <w:szCs w:val="31"/>
          <w:shd w:val="clear" w:fill="FFFFFF"/>
          <w:vertAlign w:val="baseline"/>
          <w:lang w:val="en-US" w:eastAsia="zh-CN"/>
        </w:rPr>
        <w:t>研究生招生考试网络远程复试考生须知</w:t>
      </w:r>
      <w:r>
        <w:rPr>
          <w:rFonts w:hint="eastAsia" w:ascii="仿宋_gb2312" w:hAnsi="仿宋_gb2312" w:eastAsia="仿宋_gb2312" w:cs="仿宋_gb2312"/>
          <w:b w:val="0"/>
          <w:bCs w:val="0"/>
          <w:i w:val="0"/>
          <w:iCs w:val="0"/>
          <w:caps w:val="0"/>
          <w:color w:val="333333"/>
          <w:spacing w:val="0"/>
          <w:sz w:val="31"/>
          <w:szCs w:val="31"/>
          <w:shd w:val="clear" w:fill="FFFFFF"/>
          <w:vertAlign w:val="baseline"/>
          <w:lang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5"/>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（三）成绩计算方式及录取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    总分为400分，其中外国语、两门业务课以及综合能力测试各100分。各学院根据考生的报名资料、考核成绩、导师意见综合评定，择优确定录取名单，其中，单科低于60分不予录取。拟录取名单将报学校研究生招生工作领导小组审核后统一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5"/>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五、保障机制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（一）严格实行监督制度和责任追究制度。研究生招生工作全面接受学校纪检监察机构监督。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（二）研究生院及时公布学院拟录取名单等信息。在公示有关信息的同时，保证考生申诉、监督渠道的畅通。对申诉的问题经调查属实的，由学校研究生招生工作领导小组和学校纪检监察机构及时进行处理。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（三）把广大师生生命安全和身体健康放在第一位，坚持安全第一、生命至上，严格落实疫情防控工作要求，主动与所在区卫生健康和疾控部门对接，切实做好考试过程中的疫情防控工作。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学校招生监察室联系电话：021-57090496。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lef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研究生招生办公室咨询电话：021-62071885。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right"/>
        <w:textAlignment w:val="baseline"/>
        <w:rPr>
          <w:rFonts w:hint="eastAsia" w:ascii="宋体" w:hAnsi="宋体" w:eastAsia="宋体" w:cs="宋体"/>
          <w:caps w:val="0"/>
          <w:color w:val="333333"/>
          <w:spacing w:val="0"/>
          <w:kern w:val="0"/>
          <w:sz w:val="31"/>
          <w:szCs w:val="31"/>
          <w:shd w:val="clear" w:fill="FFFFFF"/>
          <w:vertAlign w:val="baseline"/>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right"/>
        <w:textAlignment w:val="baseline"/>
        <w:rPr>
          <w:rFonts w:hint="default" w:ascii="Tahoma" w:hAnsi="Tahoma" w:eastAsia="Tahoma" w:cs="Tahoma"/>
          <w:caps w:val="0"/>
          <w:color w:val="333333"/>
          <w:spacing w:val="0"/>
          <w:sz w:val="21"/>
          <w:szCs w:val="21"/>
        </w:rPr>
      </w:pPr>
      <w:r>
        <w:rPr>
          <w:rFonts w:hint="eastAsia" w:ascii="宋体" w:hAnsi="宋体" w:eastAsia="宋体" w:cs="宋体"/>
          <w:caps w:val="0"/>
          <w:color w:val="333333"/>
          <w:spacing w:val="0"/>
          <w:kern w:val="0"/>
          <w:sz w:val="31"/>
          <w:szCs w:val="31"/>
          <w:shd w:val="clear" w:fill="FFFFFF"/>
          <w:vertAlign w:val="baseline"/>
          <w:lang w:val="en-US" w:eastAsia="zh-CN" w:bidi="ar"/>
        </w:rPr>
        <w:t> </w:t>
      </w: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华东政法大学研究生院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jc w:val="right"/>
        <w:textAlignment w:val="baseline"/>
        <w:rPr>
          <w:rFonts w:hint="default" w:ascii="Tahoma" w:hAnsi="Tahoma" w:eastAsia="Tahoma" w:cs="Tahoma"/>
          <w:caps w:val="0"/>
          <w:color w:val="333333"/>
          <w:spacing w:val="0"/>
          <w:sz w:val="21"/>
          <w:szCs w:val="21"/>
        </w:rPr>
      </w:pP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202</w:t>
      </w:r>
      <w:r>
        <w:rPr>
          <w:rFonts w:hint="eastAsia" w:ascii="仿宋_gb2312" w:hAnsi="仿宋_gb2312" w:eastAsia="仿宋_gb2312" w:cs="仿宋_gb2312"/>
          <w:caps w:val="0"/>
          <w:color w:val="333333"/>
          <w:spacing w:val="0"/>
          <w:kern w:val="0"/>
          <w:sz w:val="31"/>
          <w:szCs w:val="31"/>
          <w:shd w:val="clear" w:fill="FFFFFF"/>
          <w:vertAlign w:val="baseline"/>
          <w:lang w:val="en-US" w:eastAsia="zh-CN" w:bidi="ar"/>
        </w:rPr>
        <w:t>2</w:t>
      </w: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年4月</w:t>
      </w:r>
      <w:r>
        <w:rPr>
          <w:rFonts w:hint="eastAsia" w:ascii="仿宋_gb2312" w:hAnsi="仿宋_gb2312" w:eastAsia="仿宋_gb2312" w:cs="仿宋_gb2312"/>
          <w:caps w:val="0"/>
          <w:color w:val="333333"/>
          <w:spacing w:val="0"/>
          <w:kern w:val="0"/>
          <w:sz w:val="31"/>
          <w:szCs w:val="31"/>
          <w:shd w:val="clear" w:fill="FFFFFF"/>
          <w:vertAlign w:val="baseline"/>
          <w:lang w:val="en-US" w:eastAsia="zh-CN" w:bidi="ar"/>
        </w:rPr>
        <w:t>26</w:t>
      </w:r>
      <w:r>
        <w:rPr>
          <w:rFonts w:hint="default" w:ascii="仿宋_gb2312" w:hAnsi="仿宋_gb2312" w:eastAsia="仿宋_gb2312" w:cs="仿宋_gb2312"/>
          <w:caps w:val="0"/>
          <w:color w:val="333333"/>
          <w:spacing w:val="0"/>
          <w:kern w:val="0"/>
          <w:sz w:val="31"/>
          <w:szCs w:val="31"/>
          <w:shd w:val="clear" w:fill="FFFFFF"/>
          <w:vertAlign w:val="baseline"/>
          <w:lang w:val="en-US" w:eastAsia="zh-CN" w:bidi="ar"/>
        </w:rPr>
        <w:t>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zNTUyNWJmMWE0M2ZlNWM5YjlhZmU2OWJiNjAwNWMifQ=="/>
  </w:docVars>
  <w:rsids>
    <w:rsidRoot w:val="1747350F"/>
    <w:rsid w:val="0F326622"/>
    <w:rsid w:val="1747350F"/>
    <w:rsid w:val="18631E0B"/>
    <w:rsid w:val="23DD1274"/>
    <w:rsid w:val="2D9605EC"/>
    <w:rsid w:val="62146F9B"/>
    <w:rsid w:val="62866756"/>
    <w:rsid w:val="7A9C0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1597</Words>
  <Characters>1671</Characters>
  <Lines>0</Lines>
  <Paragraphs>0</Paragraphs>
  <TotalTime>2</TotalTime>
  <ScaleCrop>false</ScaleCrop>
  <LinksUpToDate>false</LinksUpToDate>
  <CharactersWithSpaces>1723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2022-04-26T07:16:00Z</dcterms:created>
  <dc:creator>李尧珺</dc:creator>
  <cp:lastModifiedBy>李尧珺</cp:lastModifiedBy>
  <dcterms:modified xsi:type="dcterms:W3CDTF">2022-04-26T11:18:52Z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9772619C9A3942F998B59FF157E08B68</vt:lpwstr>
  </property>
</Properties>
</file>