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课程名称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知识产权与国际私法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课程名称：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Intellectual property and private international law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开课学期：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知识产权学院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课程性质：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课程层次：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学术硕士生课程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成绩记录方式：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等级制</w:t>
      </w:r>
    </w:p>
    <w:p>
      <w:pPr>
        <w:widowControl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教学大纲：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知识产权课程是知识产权学院研究生必修的课程，在此基础上Paul教授结合国际私法等相关原则和条款，对国际上的知识产权问题进行分析，并结合案例加深同学的理解。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开设本课程，旨在通过理论教学与实践应用训练，使学生掌握知识产权的基础理论知识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培养学生的问题意识，即通过现象发现知识产权问题，透过问题提炼观点，运用材料论证观点。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参考文献：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Holyoak and Torremans</w:t>
      </w:r>
      <w:r>
        <w:rPr>
          <w:rFonts w:hint="default" w:ascii="仿宋" w:hAnsi="仿宋" w:eastAsia="仿宋" w:cs="仿宋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sz w:val="32"/>
          <w:szCs w:val="32"/>
        </w:rPr>
        <w:t>Intellectual Property Law</w:t>
      </w:r>
      <w:r>
        <w:rPr>
          <w:rFonts w:hint="default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default" w:ascii="仿宋" w:hAnsi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th Edition)</w:t>
      </w:r>
      <w:r>
        <w:rPr>
          <w:rFonts w:hint="default" w:ascii="仿宋" w:hAnsi="仿宋" w:cs="仿宋"/>
          <w:sz w:val="32"/>
          <w:szCs w:val="32"/>
        </w:rPr>
        <w:t xml:space="preserve">, </w:t>
      </w:r>
      <w:r>
        <w:rPr>
          <w:rFonts w:hint="default" w:ascii="仿宋" w:hAnsi="仿宋" w:eastAsia="仿宋" w:cs="仿宋"/>
          <w:sz w:val="32"/>
          <w:szCs w:val="32"/>
        </w:rPr>
        <w:t>Oxford University Press, 201</w:t>
      </w:r>
      <w:r>
        <w:rPr>
          <w:rFonts w:hint="default" w:ascii="仿宋" w:hAnsi="仿宋" w:cs="仿宋"/>
          <w:sz w:val="32"/>
          <w:szCs w:val="32"/>
        </w:rPr>
        <w:t>6</w:t>
      </w:r>
      <w:r>
        <w:rPr>
          <w:rFonts w:hint="default" w:ascii="仿宋" w:hAnsi="仿宋" w:eastAsia="仿宋" w:cs="仿宋"/>
          <w:sz w:val="32"/>
          <w:szCs w:val="32"/>
        </w:rPr>
        <w:t>.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Paul L. C. Torremans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sz w:val="32"/>
          <w:szCs w:val="32"/>
        </w:rPr>
        <w:t>European Intellectual Property Law</w:t>
      </w:r>
      <w:r>
        <w:rPr>
          <w:rFonts w:hint="default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>Oxford University Press, 201</w:t>
      </w:r>
      <w:r>
        <w:rPr>
          <w:rFonts w:hint="default" w:ascii="仿宋" w:hAnsi="仿宋" w:cs="仿宋"/>
          <w:sz w:val="32"/>
          <w:szCs w:val="32"/>
        </w:rPr>
        <w:t>6</w:t>
      </w:r>
      <w:r>
        <w:rPr>
          <w:rFonts w:hint="default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"https://olrl.ouplaw.com/view/10.1093/law/9780199678983.001.0001/law-9780199678983"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Paul L. C. Torremans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,</w:t>
      </w:r>
      <w:r>
        <w:rPr>
          <w:rFonts w:hint="default" w:ascii="仿宋" w:hAnsi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Cheshire, North &amp; Fawcett: Private International Law (15th Edition)</w:t>
      </w:r>
      <w:r>
        <w:rPr>
          <w:rFonts w:hint="default" w:ascii="仿宋" w:hAnsi="仿宋" w:eastAsia="仿宋" w:cs="仿宋"/>
          <w:sz w:val="32"/>
          <w:szCs w:val="32"/>
        </w:rPr>
        <w:t>,Oxford University Press, 2017.</w:t>
      </w:r>
    </w:p>
    <w:p>
      <w:pPr>
        <w:ind w:left="0" w:leftChars="0" w:firstLine="0" w:firstLineChars="0"/>
        <w:rPr>
          <w:rFonts w:hint="eastAsia" w:ascii="仿宋" w:hAnsi="仿宋" w:eastAsia="仿宋" w:cs="仿宋"/>
          <w:position w:val="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position w:val="1"/>
        </w:rPr>
        <w:t>Annabelle Bennett and Sam Granate, When Private International Law Meets Intellectual Property Law:</w:t>
      </w:r>
      <w:r>
        <w:rPr>
          <w:rFonts w:hint="default" w:ascii="仿宋" w:hAnsi="仿宋" w:eastAsia="仿宋" w:cs="仿宋"/>
          <w:position w:val="1"/>
        </w:rPr>
        <w:t xml:space="preserve"> </w:t>
      </w:r>
      <w:r>
        <w:rPr>
          <w:rFonts w:hint="eastAsia" w:ascii="仿宋" w:hAnsi="仿宋" w:eastAsia="仿宋" w:cs="仿宋"/>
          <w:position w:val="1"/>
        </w:rPr>
        <w:t>A Guide for Judges,</w:t>
      </w:r>
      <w:r>
        <w:rPr>
          <w:rFonts w:hint="default" w:ascii="仿宋" w:hAnsi="仿宋" w:eastAsia="仿宋" w:cs="仿宋"/>
          <w:position w:val="1"/>
        </w:rPr>
        <w:t xml:space="preserve"> </w:t>
      </w:r>
      <w:r>
        <w:rPr>
          <w:rFonts w:hint="eastAsia" w:ascii="仿宋" w:hAnsi="仿宋" w:eastAsia="仿宋" w:cs="仿宋"/>
          <w:position w:val="1"/>
        </w:rPr>
        <w:t>Hague Conference on Private International Law and World Intellectual Property Organization,</w:t>
      </w:r>
      <w:r>
        <w:rPr>
          <w:rFonts w:hint="default" w:ascii="仿宋" w:hAnsi="仿宋" w:eastAsia="仿宋" w:cs="仿宋"/>
          <w:position w:val="1"/>
        </w:rPr>
        <w:t xml:space="preserve"> </w:t>
      </w:r>
      <w:r>
        <w:rPr>
          <w:rFonts w:hint="eastAsia" w:ascii="仿宋" w:hAnsi="仿宋" w:eastAsia="仿宋" w:cs="仿宋"/>
          <w:position w:val="1"/>
        </w:rPr>
        <w:t>2019.</w:t>
      </w:r>
    </w:p>
    <w:p>
      <w:pPr>
        <w:rPr>
          <w:rFonts w:hint="eastAsia" w:ascii="仿宋" w:hAnsi="仿宋" w:eastAsia="仿宋" w:cs="仿宋"/>
          <w:position w:val="1"/>
        </w:rPr>
      </w:pPr>
      <w:r>
        <w:rPr>
          <w:rFonts w:hint="eastAsia" w:ascii="仿宋" w:hAnsi="仿宋" w:eastAsia="仿宋" w:cs="仿宋"/>
          <w:position w:val="1"/>
        </w:rPr>
        <w:t>Eugen Ulmer, Intellectual Property Rights and the Conflict of Laws，</w:t>
      </w:r>
      <w:r>
        <w:rPr>
          <w:rFonts w:hint="eastAsia" w:ascii="仿宋" w:hAnsi="仿宋" w:eastAsia="仿宋" w:cs="仿宋"/>
          <w:position w:val="1"/>
          <w:lang w:val="en-US" w:eastAsia="zh-Hans"/>
        </w:rPr>
        <w:t>Kl</w:t>
      </w:r>
      <w:r>
        <w:rPr>
          <w:rFonts w:hint="eastAsia" w:ascii="仿宋" w:hAnsi="仿宋" w:eastAsia="仿宋" w:cs="仿宋"/>
          <w:position w:val="1"/>
          <w:lang w:eastAsia="zh-Hans"/>
        </w:rPr>
        <w:t>uwer Law an</w:t>
      </w:r>
      <w:r>
        <w:rPr>
          <w:rFonts w:hint="default" w:ascii="仿宋" w:hAnsi="仿宋" w:eastAsia="仿宋" w:cs="仿宋"/>
          <w:position w:val="1"/>
          <w:lang w:eastAsia="zh-Hans"/>
        </w:rPr>
        <w:t xml:space="preserve">d </w:t>
      </w:r>
      <w:r>
        <w:rPr>
          <w:rFonts w:hint="eastAsia" w:ascii="仿宋" w:hAnsi="仿宋" w:eastAsia="仿宋" w:cs="仿宋"/>
          <w:position w:val="1"/>
          <w:lang w:eastAsia="zh-Hans"/>
        </w:rPr>
        <w:t>Taxation</w:t>
      </w:r>
      <w:r>
        <w:rPr>
          <w:rFonts w:hint="default" w:ascii="仿宋" w:hAnsi="仿宋" w:eastAsia="仿宋" w:cs="仿宋"/>
          <w:position w:val="1"/>
          <w:lang w:eastAsia="zh-Hans"/>
        </w:rPr>
        <w:t xml:space="preserve"> </w:t>
      </w:r>
      <w:r>
        <w:rPr>
          <w:rFonts w:hint="eastAsia" w:ascii="仿宋" w:hAnsi="仿宋" w:eastAsia="仿宋" w:cs="仿宋"/>
          <w:position w:val="1"/>
          <w:lang w:eastAsia="zh-Hans"/>
        </w:rPr>
        <w:t>Publishing,</w:t>
      </w:r>
      <w:r>
        <w:rPr>
          <w:rFonts w:hint="default" w:ascii="仿宋" w:hAnsi="仿宋" w:eastAsia="仿宋" w:cs="仿宋"/>
          <w:position w:val="1"/>
          <w:lang w:eastAsia="zh-Hans"/>
        </w:rPr>
        <w:t xml:space="preserve"> </w:t>
      </w:r>
      <w:r>
        <w:rPr>
          <w:rFonts w:hint="eastAsia" w:ascii="仿宋" w:hAnsi="仿宋" w:eastAsia="仿宋" w:cs="仿宋"/>
          <w:position w:val="1"/>
          <w:lang w:eastAsia="zh-Hans"/>
        </w:rPr>
        <w:t>1978.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position w:val="1"/>
          <w:lang w:eastAsia="zh-CN"/>
        </w:rPr>
        <w:t xml:space="preserve">James J. Fawcett and Paul Torremans, Intellectual Property and Private International Law, </w:t>
      </w:r>
      <w:r>
        <w:rPr>
          <w:rFonts w:hint="eastAsia" w:ascii="仿宋" w:hAnsi="仿宋" w:eastAsia="仿宋" w:cs="仿宋"/>
          <w:sz w:val="32"/>
          <w:szCs w:val="32"/>
        </w:rPr>
        <w:t>Oxford University Press</w:t>
      </w:r>
      <w:r>
        <w:rPr>
          <w:rFonts w:hint="default" w:ascii="仿宋" w:hAnsi="仿宋" w:eastAsia="仿宋" w:cs="仿宋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sz w:val="32"/>
          <w:szCs w:val="32"/>
        </w:rPr>
        <w:t>2011.</w:t>
      </w:r>
      <w:r>
        <w:rPr>
          <w:rFonts w:hint="eastAsia" w:ascii="仿宋" w:hAnsi="仿宋" w:eastAsia="仿宋" w:cs="仿宋"/>
          <w:position w:val="1"/>
          <w:lang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课程资源：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授课教师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Paul L. C. Torremans，教授，主要研究领域是知识产权、国际私法、欧盟法、比较法等。1992年在英国莱斯特大学取得欧洲与国际贸易法的硕士，2002年在英国莱斯特大学获得法学博士，曾在英国莱斯特大学任高级讲师，在利兹大学任教授并授课商法，现在英国诺丁汉大学任教授，并讲授知识产权法。已发发表《知识产权法》、《欧洲知识产权法》、《国际私法》等多部专著和期刊文章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本次课程采用线上会议的方式进行，Paul教授为学生提供了丰富的学习资料，让学生们得以从国外法律的视角了解知识产权法与国际私法，并通过案例加深对知识点的了解。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相关课程：</w:t>
      </w:r>
      <w:r>
        <w:rPr>
          <w:rFonts w:hint="eastAsia" w:ascii="仿宋" w:hAnsi="仿宋" w:eastAsia="仿宋" w:cs="仿宋"/>
          <w:sz w:val="32"/>
          <w:szCs w:val="32"/>
        </w:rPr>
        <w:t>《知识产权法》《知识产权国际保护》《国际私法》</w:t>
      </w:r>
    </w:p>
    <w:p>
      <w:pPr>
        <w:spacing w:before="100" w:beforeAutospacing="1" w:after="100" w:afterAutospacing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课程简介：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在202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10-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11月，《知识产权与国际私法》由Paul L. C. Torremans授课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Paul</w:t>
      </w:r>
      <w:r>
        <w:rPr>
          <w:rFonts w:hint="default" w:ascii="仿宋" w:hAnsi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L. C. Torremans以线上授课的方式为华东政法大学学术型硕士研究生进行授课。教授以知识产权与国际私法为主要内容，主要讲解CLIP 原则的重要法条，从CLIP规则的一般司法原则讲起，再讲到特殊规则、侵权规则、诉讼程序、无效程序、法院管辖、禁令范围、权利转让、多个当事人诉讼、赔偿等问题。教授通过分析其原则与内容，对每一个重要问题结合案例促进学生理解，并安排专门的案例演练课程，结合真实案例综合整个课程知识点讲授专业知识。</w:t>
      </w:r>
    </w:p>
    <w:p>
      <w:pPr>
        <w:widowControl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上课</w:t>
      </w:r>
      <w:r>
        <w:rPr>
          <w:rFonts w:hint="eastAsia" w:ascii="仿宋" w:hAnsi="仿宋" w:cs="仿宋"/>
          <w:b/>
          <w:bCs/>
          <w:color w:val="000000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</w:rPr>
        <w:t>10月11日、15日、18日、22日、25日、29日和11月1日、5日</w:t>
      </w:r>
    </w:p>
    <w:p>
      <w:pPr>
        <w:widowControl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eastAsia="zh-CN"/>
        </w:rPr>
        <w:t>上课时间：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北京时间</w:t>
      </w:r>
      <w:r>
        <w:rPr>
          <w:rFonts w:hint="eastAsia" w:ascii="仿宋" w:hAnsi="仿宋" w:eastAsia="仿宋" w:cs="仿宋"/>
          <w:sz w:val="32"/>
          <w:szCs w:val="32"/>
        </w:rPr>
        <w:t>下午1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3:30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6:30 </w:t>
      </w:r>
      <w:bookmarkStart w:id="0" w:name="_GoBack"/>
      <w:bookmarkEnd w:id="0"/>
    </w:p>
    <w:p>
      <w:pPr>
        <w:widowControl/>
        <w:jc w:val="both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考试时间：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AdobeSongStd-Light">
    <w:altName w:val="Times New Roman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 font-size : 21px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凌慧体-简">
    <w:altName w:val="宋体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凌慧体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雅痞-简">
    <w:altName w:val="宋体"/>
    <w:panose1 w:val="020F0603040207020204"/>
    <w:charset w:val="86"/>
    <w:family w:val="auto"/>
    <w:pitch w:val="default"/>
    <w:sig w:usb0="00000000" w:usb1="00000000" w:usb2="0000001E" w:usb3="00000000" w:csb0="00040001" w:csb1="00000000"/>
  </w:font>
  <w:font w:name="Yuan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Xingkai TC Light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Xingkai SC Light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l Bayan Plain">
    <w:altName w:val="Segoe Print"/>
    <w:panose1 w:val="00000000000000000000"/>
    <w:charset w:val="00"/>
    <w:family w:val="auto"/>
    <w:pitch w:val="default"/>
    <w:sig w:usb0="00000000" w:usb1="00000000" w:usb2="00000008" w:usb3="00000000" w:csb0="00000040" w:csb1="2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WPS-Bullets-ne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PS-Number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annotate TC Regular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 Regular">
    <w:altName w:val="Segoe Print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New Peninim MT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anum Myeongjo Regular">
    <w:altName w:val="Gungsuh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Helvetica Regular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Noto Nastaliq Urdu Regular">
    <w:altName w:val="Segoe Print"/>
    <w:panose1 w:val="020B0502040504020204"/>
    <w:charset w:val="00"/>
    <w:family w:val="auto"/>
    <w:pitch w:val="default"/>
    <w:sig w:usb0="00000000" w:usb1="00000000" w:usb2="00000000" w:usb3="00000000" w:csb0="00000041" w:csb1="00000000"/>
  </w:font>
  <w:font w:name="Nanum Pen Script">
    <w:altName w:val="Malgun Gothic"/>
    <w:panose1 w:val="03040600000000000000"/>
    <w:charset w:val="81"/>
    <w:family w:val="auto"/>
    <w:pitch w:val="default"/>
    <w:sig w:usb0="00000000" w:usb1="00000000" w:usb2="00000010" w:usb3="00000000" w:csb0="00080001" w:csb1="00000000"/>
  </w:font>
  <w:font w:name="New Peninim M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J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SK--GBK1-0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New Peninim 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89974837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0-0-48905007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11908106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DLF-3-0-167676031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0-0-6880922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HT_CNK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 Myeongjo">
    <w:altName w:val="Gungsuh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N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DY3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Y35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061E"/>
    <w:rsid w:val="3B9FB40A"/>
    <w:rsid w:val="5FBD3A2F"/>
    <w:rsid w:val="6D76CF4D"/>
    <w:rsid w:val="76AE1253"/>
    <w:rsid w:val="909C6669"/>
    <w:rsid w:val="F27F0442"/>
    <w:rsid w:val="FFDF543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paragraph" w:styleId="3">
    <w:name w:val="heading 2"/>
    <w:next w:val="1"/>
    <w:link w:val="12"/>
    <w:unhideWhenUsed/>
    <w:qFormat/>
    <w:uiPriority w:val="0"/>
    <w:pPr>
      <w:widowControl/>
      <w:spacing w:beforeAutospacing="0" w:afterAutospacing="0" w:line="240" w:lineRule="auto"/>
      <w:ind w:firstLine="880" w:firstLineChars="200"/>
      <w:jc w:val="left"/>
      <w:outlineLvl w:val="1"/>
    </w:pPr>
    <w:rPr>
      <w:rFonts w:ascii="宋体" w:hAnsi="宋体" w:eastAsia="楷体" w:cs="宋体"/>
      <w:b/>
      <w:bCs/>
      <w:kern w:val="0"/>
      <w:sz w:val="32"/>
      <w:szCs w:val="36"/>
    </w:rPr>
  </w:style>
  <w:style w:type="paragraph" w:styleId="4">
    <w:name w:val="heading 3"/>
    <w:next w:val="1"/>
    <w:link w:val="13"/>
    <w:unhideWhenUsed/>
    <w:qFormat/>
    <w:uiPriority w:val="0"/>
    <w:pPr>
      <w:keepNext/>
      <w:keepLines/>
      <w:spacing w:line="416" w:lineRule="atLeast"/>
      <w:ind w:firstLine="0"/>
      <w:outlineLvl w:val="2"/>
    </w:pPr>
    <w:rPr>
      <w:rFonts w:ascii="Calibri" w:hAnsi="Calibri" w:eastAsia="仿宋" w:cstheme="minorBidi"/>
      <w:b/>
      <w:bCs/>
      <w:sz w:val="32"/>
      <w:szCs w:val="32"/>
    </w:rPr>
  </w:style>
  <w:style w:type="paragraph" w:styleId="5">
    <w:name w:val="heading 4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/>
      <w:jc w:val="left"/>
      <w:outlineLvl w:val="3"/>
    </w:pPr>
    <w:rPr>
      <w:rFonts w:ascii="Arial" w:hAnsi="Arial" w:eastAsia="仿宋" w:cstheme="minorBidi"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Times New Roman" w:hAnsi="Times New Roman" w:eastAsia="方正小标宋简体" w:cstheme="majorBidi"/>
      <w:bCs/>
      <w:sz w:val="44"/>
      <w:szCs w:val="32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Char"/>
    <w:basedOn w:val="7"/>
    <w:link w:val="6"/>
    <w:qFormat/>
    <w:uiPriority w:val="10"/>
    <w:rPr>
      <w:rFonts w:ascii="Times New Roman" w:hAnsi="Times New Roman" w:eastAsia="方正小标宋简体" w:cs="Microsoft YaHei UI"/>
      <w:caps/>
      <w:color w:val="595959"/>
      <w:kern w:val="28"/>
      <w:sz w:val="44"/>
      <w:szCs w:val="70"/>
    </w:rPr>
  </w:style>
  <w:style w:type="character" w:customStyle="1" w:styleId="11">
    <w:name w:val="标题 1 Char"/>
    <w:basedOn w:val="7"/>
    <w:link w:val="2"/>
    <w:qFormat/>
    <w:uiPriority w:val="9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eastAsia="楷体" w:cs="宋体"/>
      <w:b/>
      <w:bCs/>
      <w:kern w:val="0"/>
      <w:sz w:val="32"/>
      <w:szCs w:val="36"/>
    </w:rPr>
  </w:style>
  <w:style w:type="character" w:customStyle="1" w:styleId="13">
    <w:name w:val="标题 3 Char"/>
    <w:basedOn w:val="7"/>
    <w:link w:val="4"/>
    <w:qFormat/>
    <w:uiPriority w:val="9"/>
    <w:rPr>
      <w:rFonts w:ascii="Calibri" w:hAnsi="Calibri" w:eastAsia="仿宋"/>
      <w:b/>
      <w:bCs/>
      <w:sz w:val="32"/>
      <w:szCs w:val="32"/>
    </w:rPr>
  </w:style>
  <w:style w:type="paragraph" w:customStyle="1" w:styleId="14">
    <w:name w:val="单位 姓名"/>
    <w:qFormat/>
    <w:uiPriority w:val="0"/>
    <w:pPr>
      <w:jc w:val="center"/>
    </w:pPr>
    <w:rPr>
      <w:rFonts w:ascii="Calibri" w:hAnsi="Calibri" w:eastAsia="楷体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zhaoxinlei</dc:creator>
  <cp:lastModifiedBy>YLY</cp:lastModifiedBy>
  <dcterms:modified xsi:type="dcterms:W3CDTF">2021-10-08T05:39:29Z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36C781E98B0871F730AA5F61F78D5D51</vt:lpwstr>
  </property>
</Properties>
</file>