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Lines="0" w:line="240" w:lineRule="auto"/>
        <w:ind w:firstLine="1"/>
        <w:jc w:val="center"/>
        <w:rPr>
          <w:rFonts w:hAnsi="宋体" w:cs="Times New Roman"/>
          <w:b/>
          <w:bCs/>
          <w:sz w:val="32"/>
          <w:szCs w:val="32"/>
        </w:rPr>
      </w:pPr>
      <w:r>
        <w:rPr>
          <w:rFonts w:hint="eastAsia" w:hAnsi="宋体" w:cs="Times New Roman"/>
          <w:b/>
          <w:bCs/>
          <w:sz w:val="32"/>
          <w:szCs w:val="32"/>
        </w:rPr>
        <w:t>非洲国家宪法中的经济、社会与文化权利</w:t>
      </w:r>
    </w:p>
    <w:p>
      <w:pPr>
        <w:spacing w:after="160" w:afterLines="0" w:line="240" w:lineRule="auto"/>
        <w:jc w:val="center"/>
        <w:rPr>
          <w:rFonts w:hAnsi="宋体" w:cs="Times New Roman"/>
          <w:b/>
          <w:bCs/>
          <w:sz w:val="28"/>
          <w:szCs w:val="28"/>
        </w:rPr>
      </w:pPr>
      <w:r>
        <w:rPr>
          <w:rFonts w:hAnsi="宋体" w:cs="Times New Roman"/>
          <w:b/>
          <w:bCs/>
          <w:sz w:val="28"/>
          <w:szCs w:val="28"/>
        </w:rPr>
        <w:t>Social, economic and cultural rights in African constitutions</w:t>
      </w:r>
    </w:p>
    <w:p>
      <w:pPr>
        <w:spacing w:before="100" w:beforeAutospacing="1" w:after="100" w:afterLines="0" w:afterAutospacing="1" w:line="240" w:lineRule="auto"/>
        <w:rPr>
          <w:rFonts w:hAnsi="宋体" w:cs="Times New Roman"/>
          <w:b/>
          <w:bCs/>
          <w:color w:val="000080"/>
          <w:szCs w:val="24"/>
        </w:rPr>
      </w:pPr>
      <w:r>
        <w:rPr>
          <w:rFonts w:hint="eastAsia" w:hAnsi="宋体" w:cs="Times New Roman"/>
          <w:b/>
          <w:bCs/>
          <w:color w:val="000080"/>
          <w:szCs w:val="24"/>
        </w:rPr>
        <w:t>课程主讲人简介</w:t>
      </w:r>
    </w:p>
    <w:p>
      <w:pPr>
        <w:spacing w:after="156" w:afterLines="50" w:line="240" w:lineRule="auto"/>
        <w:rPr>
          <w:rFonts w:cs="Times New Roman"/>
          <w:color w:val="000000"/>
          <w:sz w:val="21"/>
          <w:szCs w:val="21"/>
        </w:rPr>
      </w:pPr>
      <w:r>
        <w:rPr>
          <w:rFonts w:hint="eastAsia" w:cs="Times New Roman"/>
          <w:color w:val="000000"/>
          <w:sz w:val="21"/>
          <w:szCs w:val="21"/>
        </w:rPr>
        <w:t>查尔斯·冯巴特，南非比勒陀利亚大学法学教授，伦敦大学法学博士。冯巴特教授是南非科学院院士，国际宪法学会副会长。曾任比勒陀利亚大学法律系公法教研室主任，现任比勒陀利亚大学非洲国际与比较法研究所主任。研究领域在于宪法、比较宪法与非洲法制史。</w:t>
      </w:r>
    </w:p>
    <w:p>
      <w:pPr>
        <w:spacing w:before="100" w:beforeAutospacing="1" w:after="100" w:afterLines="0" w:afterAutospacing="1" w:line="240" w:lineRule="auto"/>
        <w:rPr>
          <w:rFonts w:hAnsi="宋体" w:cs="Times New Roman"/>
          <w:b/>
          <w:bCs/>
          <w:color w:val="000080"/>
          <w:szCs w:val="24"/>
        </w:rPr>
      </w:pPr>
      <w:bookmarkStart w:id="0" w:name="OLE_LINK5"/>
      <w:bookmarkStart w:id="1" w:name="OLE_LINK4"/>
      <w:bookmarkStart w:id="2" w:name="OLE_LINK2"/>
      <w:bookmarkStart w:id="3" w:name="OLE_LINK1"/>
      <w:r>
        <w:rPr>
          <w:rFonts w:hAnsi="宋体" w:cs="Times New Roman"/>
          <w:b/>
          <w:bCs/>
          <w:color w:val="000080"/>
          <w:szCs w:val="24"/>
        </w:rPr>
        <w:t>Profile</w:t>
      </w:r>
      <w:bookmarkEnd w:id="0"/>
      <w:bookmarkEnd w:id="1"/>
    </w:p>
    <w:bookmarkEnd w:id="2"/>
    <w:bookmarkEnd w:id="3"/>
    <w:p>
      <w:pPr>
        <w:spacing w:after="156" w:afterLines="50" w:line="160" w:lineRule="atLeast"/>
        <w:rPr>
          <w:rFonts w:cs="Times New Roman"/>
          <w:color w:val="000000"/>
          <w:sz w:val="18"/>
          <w:szCs w:val="18"/>
        </w:rPr>
      </w:pPr>
      <w:r>
        <w:rPr>
          <w:rFonts w:cs="Times New Roman"/>
          <w:color w:val="000000"/>
          <w:sz w:val="18"/>
          <w:szCs w:val="18"/>
        </w:rPr>
        <w:t xml:space="preserve">Charles Fombad, law </w:t>
      </w:r>
      <w:r>
        <w:rPr>
          <w:rFonts w:hint="eastAsia" w:cs="Times New Roman"/>
          <w:color w:val="000000"/>
          <w:sz w:val="18"/>
          <w:szCs w:val="18"/>
        </w:rPr>
        <w:t>professor</w:t>
      </w:r>
      <w:r>
        <w:rPr>
          <w:rFonts w:cs="Times New Roman"/>
          <w:color w:val="000000"/>
          <w:sz w:val="18"/>
          <w:szCs w:val="18"/>
        </w:rPr>
        <w:t xml:space="preserve"> at Pretoria University of South Africa, got his PhD of Law from University of London. He is member of the Academy of Science of South Africa, former vice President of the International Association of Constitutional Law. He was previously the Head of Department of Public Law, of the Faculty of Law of Pretoria University, and current director for the Institute for International and Comparative Law in Africa</w:t>
      </w:r>
      <w:r>
        <w:rPr>
          <w:rFonts w:hint="eastAsia" w:cs="Times New Roman"/>
          <w:color w:val="000000"/>
          <w:sz w:val="18"/>
          <w:szCs w:val="18"/>
        </w:rPr>
        <w:t>.</w:t>
      </w:r>
      <w:r>
        <w:rPr>
          <w:rFonts w:cs="Times New Roman"/>
          <w:color w:val="000000"/>
          <w:sz w:val="18"/>
          <w:szCs w:val="18"/>
        </w:rPr>
        <w:t xml:space="preserve"> His research interests mainly focus on constitutional law, comparative constitutional law, African legal history</w:t>
      </w:r>
      <w:r>
        <w:rPr>
          <w:rFonts w:hint="eastAsia" w:cs="Times New Roman"/>
          <w:color w:val="000000"/>
          <w:sz w:val="18"/>
          <w:szCs w:val="18"/>
        </w:rPr>
        <w:t>.</w:t>
      </w:r>
    </w:p>
    <w:p>
      <w:pPr>
        <w:spacing w:before="100" w:beforeAutospacing="1" w:after="100" w:afterLines="0" w:afterAutospacing="1" w:line="240" w:lineRule="auto"/>
        <w:rPr>
          <w:rFonts w:hAnsi="宋体" w:cs="Times New Roman"/>
          <w:b/>
          <w:bCs/>
          <w:color w:val="000080"/>
          <w:szCs w:val="24"/>
        </w:rPr>
      </w:pPr>
      <w:r>
        <w:rPr>
          <w:rFonts w:hint="eastAsia" w:hAnsi="宋体" w:cs="Times New Roman"/>
          <w:b/>
          <w:bCs/>
          <w:color w:val="000080"/>
          <w:szCs w:val="24"/>
        </w:rPr>
        <w:t>基本信息</w:t>
      </w:r>
      <w:r>
        <w:rPr>
          <w:rFonts w:hint="eastAsia" w:hAnsi="宋体" w:cs="Times New Roman"/>
          <w:b/>
          <w:bCs/>
          <w:color w:val="000080"/>
          <w:szCs w:val="24"/>
        </w:rPr>
        <w:t xml:space="preserve"> </w:t>
      </w:r>
      <w:r>
        <w:rPr>
          <w:rFonts w:hAnsi="宋体" w:cs="Times New Roman"/>
          <w:b/>
          <w:bCs/>
          <w:color w:val="000080"/>
          <w:szCs w:val="24"/>
        </w:rPr>
        <w:t>Basic information</w:t>
      </w:r>
    </w:p>
    <w:tbl>
      <w:tblPr>
        <w:tblStyle w:val="15"/>
        <w:tblpPr w:leftFromText="180" w:rightFromText="180" w:vertAnchor="text" w:horzAnchor="margin" w:tblpY="-2"/>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4678"/>
      </w:tblGrid>
      <w:tr>
        <w:tblPrEx>
          <w:tblLayout w:type="fixed"/>
        </w:tblPrEx>
        <w:trPr>
          <w:trHeight w:val="472" w:hRule="atLeast"/>
        </w:trPr>
        <w:tc>
          <w:tcPr>
            <w:tcW w:w="3686" w:type="dxa"/>
            <w:shd w:val="clear" w:color="auto" w:fill="B8CCE4"/>
            <w:vAlign w:val="center"/>
          </w:tcPr>
          <w:p>
            <w:pPr>
              <w:spacing w:after="160" w:afterLines="0" w:line="240" w:lineRule="auto"/>
              <w:rPr>
                <w:rFonts w:cs="Times New Roman"/>
                <w:b/>
                <w:bCs/>
                <w:color w:val="1F497D"/>
                <w:sz w:val="15"/>
                <w:szCs w:val="15"/>
              </w:rPr>
            </w:pPr>
            <w:r>
              <w:rPr>
                <w:rFonts w:hAnsi="宋体" w:cs="Times New Roman"/>
                <w:b/>
                <w:bCs/>
                <w:color w:val="1F497D"/>
                <w:sz w:val="15"/>
                <w:szCs w:val="15"/>
              </w:rPr>
              <w:t>院系</w:t>
            </w:r>
            <w:r>
              <w:rPr>
                <w:rFonts w:cs="Times New Roman"/>
                <w:b/>
                <w:bCs/>
                <w:color w:val="1F497D"/>
                <w:sz w:val="15"/>
                <w:szCs w:val="15"/>
              </w:rPr>
              <w:t xml:space="preserve"> </w:t>
            </w:r>
            <w:r>
              <w:rPr>
                <w:rFonts w:hint="eastAsia" w:cs="Times New Roman"/>
                <w:b/>
                <w:bCs/>
                <w:color w:val="1F497D"/>
                <w:sz w:val="15"/>
                <w:szCs w:val="15"/>
              </w:rPr>
              <w:t xml:space="preserve"> </w:t>
            </w:r>
            <w:r>
              <w:rPr>
                <w:rFonts w:cs="Times New Roman"/>
                <w:b/>
                <w:bCs/>
                <w:color w:val="1F497D"/>
                <w:sz w:val="15"/>
                <w:szCs w:val="15"/>
              </w:rPr>
              <w:t>School</w:t>
            </w:r>
          </w:p>
        </w:tc>
        <w:tc>
          <w:tcPr>
            <w:tcW w:w="4678" w:type="dxa"/>
            <w:vAlign w:val="center"/>
          </w:tcPr>
          <w:p>
            <w:pPr>
              <w:spacing w:after="160" w:afterLines="0" w:line="240" w:lineRule="auto"/>
              <w:rPr>
                <w:rFonts w:cs="Times New Roman"/>
                <w:color w:val="000000"/>
                <w:sz w:val="15"/>
                <w:szCs w:val="15"/>
              </w:rPr>
            </w:pPr>
            <w:r>
              <w:rPr>
                <w:rFonts w:hint="eastAsia" w:hAnsi="宋体" w:cs="Times New Roman"/>
                <w:color w:val="000000"/>
                <w:sz w:val="15"/>
                <w:szCs w:val="15"/>
              </w:rPr>
              <w:t>法律学院</w:t>
            </w:r>
            <w:r>
              <w:rPr>
                <w:rFonts w:hAnsi="宋体" w:cs="Times New Roman"/>
                <w:color w:val="000000"/>
                <w:sz w:val="15"/>
                <w:szCs w:val="15"/>
              </w:rPr>
              <w:t>L</w:t>
            </w:r>
            <w:r>
              <w:rPr>
                <w:rFonts w:hint="eastAsia" w:hAnsi="宋体" w:cs="Times New Roman"/>
                <w:color w:val="000000"/>
                <w:sz w:val="15"/>
                <w:szCs w:val="15"/>
              </w:rPr>
              <w:t>aw</w:t>
            </w:r>
            <w:r>
              <w:rPr>
                <w:rFonts w:hAnsi="宋体" w:cs="Times New Roman"/>
                <w:color w:val="000000"/>
                <w:sz w:val="15"/>
                <w:szCs w:val="15"/>
              </w:rPr>
              <w:t xml:space="preserve"> </w:t>
            </w:r>
            <w:r>
              <w:rPr>
                <w:rFonts w:hint="eastAsia" w:hAnsi="宋体" w:cs="Times New Roman"/>
                <w:color w:val="000000"/>
                <w:sz w:val="15"/>
                <w:szCs w:val="15"/>
              </w:rPr>
              <w:t>School</w:t>
            </w:r>
          </w:p>
        </w:tc>
      </w:tr>
      <w:tr>
        <w:tblPrEx>
          <w:tblLayout w:type="fixed"/>
        </w:tblPrEx>
        <w:trPr>
          <w:trHeight w:val="472" w:hRule="atLeast"/>
        </w:trPr>
        <w:tc>
          <w:tcPr>
            <w:tcW w:w="3686" w:type="dxa"/>
            <w:shd w:val="clear" w:color="auto" w:fill="B8CCE4"/>
            <w:vAlign w:val="center"/>
          </w:tcPr>
          <w:p>
            <w:pPr>
              <w:spacing w:after="160" w:afterLines="0" w:line="240" w:lineRule="auto"/>
              <w:rPr>
                <w:rFonts w:cs="Times New Roman"/>
                <w:b/>
                <w:bCs/>
                <w:color w:val="1F497D"/>
                <w:sz w:val="15"/>
                <w:szCs w:val="15"/>
              </w:rPr>
            </w:pPr>
            <w:r>
              <w:rPr>
                <w:rFonts w:hAnsi="宋体" w:cs="Times New Roman"/>
                <w:b/>
                <w:bCs/>
                <w:color w:val="1F497D"/>
                <w:sz w:val="15"/>
                <w:szCs w:val="15"/>
              </w:rPr>
              <w:t>学科门类</w:t>
            </w:r>
            <w:r>
              <w:rPr>
                <w:rFonts w:cs="Times New Roman"/>
                <w:b/>
                <w:bCs/>
                <w:color w:val="1F497D"/>
                <w:sz w:val="15"/>
                <w:szCs w:val="15"/>
              </w:rPr>
              <w:t xml:space="preserve"> Fields of Study</w:t>
            </w:r>
          </w:p>
        </w:tc>
        <w:tc>
          <w:tcPr>
            <w:tcW w:w="4678" w:type="dxa"/>
            <w:vAlign w:val="center"/>
          </w:tcPr>
          <w:p>
            <w:pPr>
              <w:spacing w:after="160" w:afterLines="0" w:line="240" w:lineRule="auto"/>
              <w:rPr>
                <w:rFonts w:cs="Times New Roman"/>
                <w:color w:val="000000"/>
                <w:sz w:val="15"/>
                <w:szCs w:val="15"/>
              </w:rPr>
            </w:pPr>
            <w:r>
              <w:rPr>
                <w:rFonts w:hint="eastAsia" w:cs="Times New Roman"/>
                <w:color w:val="000000"/>
                <w:sz w:val="15"/>
                <w:szCs w:val="15"/>
              </w:rPr>
              <w:t>法学</w:t>
            </w:r>
            <w:r>
              <w:rPr>
                <w:rFonts w:cs="Times New Roman"/>
                <w:color w:val="000000"/>
                <w:sz w:val="15"/>
                <w:szCs w:val="15"/>
              </w:rPr>
              <w:t xml:space="preserve"> </w:t>
            </w:r>
            <w:r>
              <w:rPr>
                <w:rFonts w:hint="eastAsia" w:cs="Times New Roman"/>
                <w:color w:val="000000"/>
                <w:sz w:val="15"/>
                <w:szCs w:val="15"/>
              </w:rPr>
              <w:t>Law</w:t>
            </w:r>
          </w:p>
        </w:tc>
      </w:tr>
      <w:tr>
        <w:tblPrEx>
          <w:tblLayout w:type="fixed"/>
        </w:tblPrEx>
        <w:trPr>
          <w:trHeight w:val="472" w:hRule="atLeast"/>
        </w:trPr>
        <w:tc>
          <w:tcPr>
            <w:tcW w:w="3686" w:type="dxa"/>
            <w:shd w:val="clear" w:color="auto" w:fill="B8CCE4"/>
            <w:vAlign w:val="center"/>
          </w:tcPr>
          <w:p>
            <w:pPr>
              <w:spacing w:after="160" w:afterLines="0" w:line="240" w:lineRule="auto"/>
              <w:rPr>
                <w:rFonts w:cs="Times New Roman"/>
                <w:b/>
                <w:bCs/>
                <w:color w:val="1F497D"/>
                <w:sz w:val="15"/>
                <w:szCs w:val="15"/>
              </w:rPr>
            </w:pPr>
            <w:r>
              <w:rPr>
                <w:rFonts w:hAnsi="宋体" w:cs="Times New Roman"/>
                <w:b/>
                <w:bCs/>
                <w:color w:val="1F497D"/>
                <w:sz w:val="15"/>
                <w:szCs w:val="15"/>
              </w:rPr>
              <w:t>所属一级学科名称</w:t>
            </w:r>
            <w:r>
              <w:rPr>
                <w:rFonts w:cs="Times New Roman"/>
                <w:b/>
                <w:bCs/>
                <w:color w:val="1F497D"/>
                <w:sz w:val="15"/>
                <w:szCs w:val="15"/>
              </w:rPr>
              <w:t xml:space="preserve"> Disciplines</w:t>
            </w:r>
          </w:p>
        </w:tc>
        <w:tc>
          <w:tcPr>
            <w:tcW w:w="4678" w:type="dxa"/>
            <w:vAlign w:val="center"/>
          </w:tcPr>
          <w:p>
            <w:pPr>
              <w:spacing w:after="160" w:afterLines="0" w:line="240" w:lineRule="auto"/>
              <w:rPr>
                <w:rFonts w:cs="Times New Roman"/>
                <w:color w:val="000000"/>
                <w:sz w:val="15"/>
                <w:szCs w:val="15"/>
              </w:rPr>
            </w:pPr>
            <w:r>
              <w:rPr>
                <w:rFonts w:hint="eastAsia" w:hAnsi="宋体" w:cs="Times New Roman"/>
                <w:color w:val="000000"/>
                <w:sz w:val="15"/>
                <w:szCs w:val="15"/>
              </w:rPr>
              <w:t>法学</w:t>
            </w:r>
            <w:r>
              <w:rPr>
                <w:rFonts w:hint="eastAsia" w:hAnsi="宋体" w:cs="Times New Roman"/>
                <w:color w:val="000000"/>
                <w:sz w:val="15"/>
                <w:szCs w:val="15"/>
              </w:rPr>
              <w:t xml:space="preserve"> </w:t>
            </w:r>
            <w:r>
              <w:rPr>
                <w:rFonts w:hAnsi="宋体" w:cs="Times New Roman"/>
                <w:color w:val="000000"/>
                <w:sz w:val="15"/>
                <w:szCs w:val="15"/>
              </w:rPr>
              <w:t>Law</w:t>
            </w:r>
          </w:p>
        </w:tc>
      </w:tr>
      <w:tr>
        <w:tblPrEx>
          <w:tblLayout w:type="fixed"/>
        </w:tblPrEx>
        <w:trPr>
          <w:trHeight w:val="472" w:hRule="atLeast"/>
        </w:trPr>
        <w:tc>
          <w:tcPr>
            <w:tcW w:w="3686" w:type="dxa"/>
            <w:shd w:val="clear" w:color="auto" w:fill="B8CCE4"/>
            <w:vAlign w:val="center"/>
          </w:tcPr>
          <w:p>
            <w:pPr>
              <w:spacing w:after="160" w:afterLines="0" w:line="240" w:lineRule="auto"/>
              <w:rPr>
                <w:rFonts w:cs="Times New Roman"/>
                <w:b/>
                <w:bCs/>
                <w:color w:val="1F497D"/>
                <w:sz w:val="15"/>
                <w:szCs w:val="15"/>
              </w:rPr>
            </w:pPr>
            <w:r>
              <w:rPr>
                <w:rFonts w:hAnsi="宋体" w:cs="Times New Roman"/>
                <w:b/>
                <w:bCs/>
                <w:color w:val="1F497D"/>
                <w:sz w:val="15"/>
                <w:szCs w:val="15"/>
              </w:rPr>
              <w:t>所属二级学科名称</w:t>
            </w:r>
            <w:r>
              <w:rPr>
                <w:rFonts w:cs="Times New Roman"/>
                <w:b/>
                <w:bCs/>
                <w:color w:val="1F497D"/>
                <w:sz w:val="15"/>
                <w:szCs w:val="15"/>
              </w:rPr>
              <w:t xml:space="preserve"> Sub-Disciplines</w:t>
            </w:r>
          </w:p>
        </w:tc>
        <w:tc>
          <w:tcPr>
            <w:tcW w:w="4678" w:type="dxa"/>
            <w:vAlign w:val="center"/>
          </w:tcPr>
          <w:p>
            <w:pPr>
              <w:spacing w:after="160" w:afterLines="0" w:line="240" w:lineRule="auto"/>
              <w:rPr>
                <w:rFonts w:cs="Times New Roman"/>
                <w:color w:val="000000"/>
                <w:sz w:val="15"/>
                <w:szCs w:val="15"/>
              </w:rPr>
            </w:pPr>
            <w:r>
              <w:rPr>
                <w:rFonts w:hint="eastAsia" w:hAnsi="宋体" w:cs="Times New Roman"/>
                <w:color w:val="000000"/>
                <w:sz w:val="15"/>
                <w:szCs w:val="15"/>
              </w:rPr>
              <w:t>外国法制史</w:t>
            </w:r>
            <w:r>
              <w:rPr>
                <w:rFonts w:cs="Times New Roman"/>
                <w:color w:val="000000"/>
                <w:sz w:val="15"/>
                <w:szCs w:val="15"/>
              </w:rPr>
              <w:t xml:space="preserve"> Foreign legal history</w:t>
            </w:r>
          </w:p>
        </w:tc>
      </w:tr>
      <w:tr>
        <w:tblPrEx>
          <w:tblLayout w:type="fixed"/>
        </w:tblPrEx>
        <w:trPr>
          <w:trHeight w:val="472" w:hRule="atLeast"/>
        </w:trPr>
        <w:tc>
          <w:tcPr>
            <w:tcW w:w="3686" w:type="dxa"/>
            <w:shd w:val="clear" w:color="auto" w:fill="B8CCE4"/>
            <w:vAlign w:val="center"/>
          </w:tcPr>
          <w:p>
            <w:pPr>
              <w:spacing w:after="160" w:afterLines="0" w:line="240" w:lineRule="auto"/>
              <w:rPr>
                <w:rFonts w:hAnsi="宋体" w:cs="Times New Roman"/>
                <w:b/>
                <w:bCs/>
                <w:color w:val="1F497D"/>
                <w:sz w:val="15"/>
                <w:szCs w:val="15"/>
              </w:rPr>
            </w:pPr>
            <w:r>
              <w:rPr>
                <w:rFonts w:hint="eastAsia" w:hAnsi="宋体" w:cs="Times New Roman"/>
                <w:b/>
                <w:bCs/>
                <w:color w:val="1F497D"/>
                <w:sz w:val="15"/>
                <w:szCs w:val="15"/>
              </w:rPr>
              <w:t>先修课程</w:t>
            </w:r>
            <w:r>
              <w:rPr>
                <w:rFonts w:cs="Times New Roman"/>
                <w:b/>
                <w:bCs/>
                <w:color w:val="1F497D"/>
                <w:sz w:val="15"/>
                <w:szCs w:val="15"/>
              </w:rPr>
              <w:t xml:space="preserve"> Prerequisites</w:t>
            </w:r>
          </w:p>
        </w:tc>
        <w:tc>
          <w:tcPr>
            <w:tcW w:w="4678" w:type="dxa"/>
            <w:vAlign w:val="center"/>
          </w:tcPr>
          <w:p>
            <w:pPr>
              <w:spacing w:after="160" w:afterLines="0" w:line="240" w:lineRule="auto"/>
              <w:rPr>
                <w:rFonts w:hAnsi="宋体" w:cs="Times New Roman"/>
                <w:color w:val="000000"/>
                <w:sz w:val="15"/>
                <w:szCs w:val="15"/>
              </w:rPr>
            </w:pPr>
            <w:r>
              <w:rPr>
                <w:rFonts w:hint="eastAsia" w:cs="Times New Roman"/>
                <w:color w:val="000000"/>
                <w:sz w:val="15"/>
                <w:szCs w:val="15"/>
              </w:rPr>
              <w:t>法理学，宪法学，外国法制史</w:t>
            </w:r>
            <w:r>
              <w:rPr>
                <w:rFonts w:hint="eastAsia" w:cs="Times New Roman"/>
                <w:color w:val="000000"/>
                <w:sz w:val="15"/>
                <w:szCs w:val="15"/>
              </w:rPr>
              <w:t>/Jurisprudence</w:t>
            </w:r>
            <w:r>
              <w:rPr>
                <w:rFonts w:hint="eastAsia" w:cs="Times New Roman"/>
                <w:color w:val="000000"/>
                <w:sz w:val="15"/>
                <w:szCs w:val="15"/>
              </w:rPr>
              <w:t>，</w:t>
            </w:r>
            <w:r>
              <w:rPr>
                <w:rFonts w:cs="Times New Roman"/>
                <w:color w:val="000000"/>
                <w:sz w:val="15"/>
                <w:szCs w:val="15"/>
              </w:rPr>
              <w:t>Constitution</w:t>
            </w:r>
            <w:r>
              <w:rPr>
                <w:rFonts w:hint="eastAsia" w:cs="Times New Roman"/>
                <w:color w:val="000000"/>
                <w:sz w:val="15"/>
                <w:szCs w:val="15"/>
              </w:rPr>
              <w:t>，</w:t>
            </w:r>
            <w:r>
              <w:rPr>
                <w:rFonts w:cs="Times New Roman"/>
                <w:color w:val="000000"/>
                <w:sz w:val="15"/>
                <w:szCs w:val="15"/>
              </w:rPr>
              <w:t>Foreign legal history</w:t>
            </w:r>
          </w:p>
        </w:tc>
      </w:tr>
      <w:tr>
        <w:tblPrEx>
          <w:tblLayout w:type="fixed"/>
        </w:tblPrEx>
        <w:trPr>
          <w:trHeight w:val="472" w:hRule="atLeast"/>
        </w:trPr>
        <w:tc>
          <w:tcPr>
            <w:tcW w:w="3686" w:type="dxa"/>
            <w:shd w:val="clear" w:color="auto" w:fill="B8CCE4"/>
            <w:vAlign w:val="center"/>
          </w:tcPr>
          <w:p>
            <w:pPr>
              <w:spacing w:after="160" w:afterLines="0" w:line="240" w:lineRule="exact"/>
              <w:rPr>
                <w:rFonts w:cs="Times New Roman"/>
                <w:b/>
                <w:bCs/>
                <w:color w:val="1F497D"/>
                <w:sz w:val="15"/>
                <w:szCs w:val="15"/>
              </w:rPr>
            </w:pPr>
            <w:r>
              <w:rPr>
                <w:rFonts w:hAnsi="宋体" w:cs="Times New Roman"/>
                <w:b/>
                <w:bCs/>
                <w:color w:val="1F497D"/>
                <w:sz w:val="15"/>
                <w:szCs w:val="15"/>
              </w:rPr>
              <w:t>选课对象</w:t>
            </w:r>
            <w:r>
              <w:rPr>
                <w:rFonts w:cs="Times New Roman"/>
                <w:b/>
                <w:bCs/>
                <w:color w:val="1F497D"/>
                <w:sz w:val="15"/>
                <w:szCs w:val="15"/>
              </w:rPr>
              <w:t xml:space="preserve"> Registration Recommendations</w:t>
            </w:r>
          </w:p>
        </w:tc>
        <w:tc>
          <w:tcPr>
            <w:tcW w:w="4678" w:type="dxa"/>
            <w:vAlign w:val="center"/>
          </w:tcPr>
          <w:p>
            <w:pPr>
              <w:spacing w:after="160" w:afterLines="0" w:line="240" w:lineRule="auto"/>
              <w:rPr>
                <w:rFonts w:cs="Times New Roman"/>
                <w:color w:val="000000"/>
                <w:sz w:val="15"/>
                <w:szCs w:val="15"/>
              </w:rPr>
            </w:pPr>
            <w:r>
              <w:rPr>
                <w:rFonts w:hint="eastAsia" w:hAnsi="宋体" w:cs="Times New Roman"/>
                <w:color w:val="000000"/>
                <w:sz w:val="15"/>
                <w:szCs w:val="15"/>
              </w:rPr>
              <w:t>法学研究生</w:t>
            </w:r>
            <w:r>
              <w:rPr>
                <w:rFonts w:hint="eastAsia" w:hAnsi="宋体" w:cs="Times New Roman"/>
                <w:color w:val="000000"/>
                <w:sz w:val="15"/>
                <w:szCs w:val="15"/>
              </w:rPr>
              <w:t xml:space="preserve"> Post</w:t>
            </w:r>
            <w:r>
              <w:rPr>
                <w:rFonts w:hAnsi="宋体" w:cs="Times New Roman"/>
                <w:color w:val="000000"/>
                <w:sz w:val="15"/>
                <w:szCs w:val="15"/>
              </w:rPr>
              <w:t>-</w:t>
            </w:r>
            <w:r>
              <w:rPr>
                <w:rFonts w:hint="eastAsia" w:hAnsi="宋体" w:cs="Times New Roman"/>
                <w:color w:val="000000"/>
                <w:sz w:val="15"/>
                <w:szCs w:val="15"/>
              </w:rPr>
              <w:t>gra</w:t>
            </w:r>
            <w:r>
              <w:rPr>
                <w:rFonts w:hAnsi="宋体" w:cs="Times New Roman"/>
                <w:color w:val="000000"/>
                <w:sz w:val="15"/>
                <w:szCs w:val="15"/>
              </w:rPr>
              <w:t>duate Students of Law</w:t>
            </w:r>
          </w:p>
        </w:tc>
      </w:tr>
      <w:tr>
        <w:tblPrEx>
          <w:tblLayout w:type="fixed"/>
        </w:tblPrEx>
        <w:trPr>
          <w:trHeight w:val="472" w:hRule="atLeast"/>
        </w:trPr>
        <w:tc>
          <w:tcPr>
            <w:tcW w:w="3686" w:type="dxa"/>
            <w:shd w:val="clear" w:color="auto" w:fill="B8CCE4"/>
            <w:vAlign w:val="center"/>
          </w:tcPr>
          <w:p>
            <w:pPr>
              <w:spacing w:after="160" w:afterLines="0" w:line="240" w:lineRule="exact"/>
              <w:rPr>
                <w:rFonts w:hAnsi="宋体" w:cs="Times New Roman"/>
                <w:b/>
                <w:bCs/>
                <w:color w:val="1F497D"/>
                <w:sz w:val="15"/>
                <w:szCs w:val="15"/>
              </w:rPr>
            </w:pPr>
            <w:r>
              <w:rPr>
                <w:rFonts w:hAnsi="宋体" w:cs="Times New Roman"/>
                <w:b/>
                <w:bCs/>
                <w:color w:val="1F497D"/>
                <w:sz w:val="15"/>
                <w:szCs w:val="15"/>
              </w:rPr>
              <w:t>课时与学分</w:t>
            </w:r>
            <w:r>
              <w:rPr>
                <w:rFonts w:hAnsi="宋体" w:cs="Times New Roman"/>
                <w:b/>
                <w:bCs/>
                <w:color w:val="1F497D"/>
                <w:sz w:val="15"/>
                <w:szCs w:val="15"/>
              </w:rPr>
              <w:t xml:space="preserve"> Lecture Hours &amp; Credits</w:t>
            </w:r>
          </w:p>
        </w:tc>
        <w:tc>
          <w:tcPr>
            <w:tcW w:w="4678" w:type="dxa"/>
            <w:vAlign w:val="center"/>
          </w:tcPr>
          <w:p>
            <w:pPr>
              <w:spacing w:after="160" w:afterLines="0" w:line="240" w:lineRule="exact"/>
              <w:rPr>
                <w:rFonts w:hAnsi="宋体" w:cs="Times New Roman"/>
                <w:b/>
                <w:bCs/>
                <w:color w:val="000000"/>
                <w:sz w:val="15"/>
                <w:szCs w:val="15"/>
              </w:rPr>
            </w:pPr>
            <w:r>
              <w:rPr>
                <w:rFonts w:hAnsi="宋体" w:cs="Times New Roman"/>
                <w:bCs/>
                <w:color w:val="000000"/>
                <w:sz w:val="15"/>
                <w:szCs w:val="15"/>
              </w:rPr>
              <w:t>32</w:t>
            </w:r>
            <w:r>
              <w:rPr>
                <w:rFonts w:hAnsi="宋体" w:cs="Times New Roman"/>
                <w:bCs/>
                <w:color w:val="000000"/>
                <w:sz w:val="15"/>
                <w:szCs w:val="15"/>
              </w:rPr>
              <w:t>学时；</w:t>
            </w:r>
            <w:r>
              <w:rPr>
                <w:rFonts w:hAnsi="宋体" w:cs="Times New Roman"/>
                <w:bCs/>
                <w:color w:val="000000"/>
                <w:sz w:val="15"/>
                <w:szCs w:val="15"/>
              </w:rPr>
              <w:t>2</w:t>
            </w:r>
            <w:r>
              <w:rPr>
                <w:rFonts w:hAnsi="宋体" w:cs="Times New Roman"/>
                <w:bCs/>
                <w:color w:val="000000"/>
                <w:sz w:val="15"/>
                <w:szCs w:val="15"/>
              </w:rPr>
              <w:t>学分</w:t>
            </w:r>
            <w:r>
              <w:rPr>
                <w:rFonts w:hint="eastAsia" w:hAnsi="宋体" w:cs="Times New Roman"/>
                <w:b/>
                <w:bCs/>
                <w:color w:val="000000"/>
                <w:sz w:val="15"/>
                <w:szCs w:val="15"/>
              </w:rPr>
              <w:t xml:space="preserve"> </w:t>
            </w:r>
            <w:r>
              <w:rPr>
                <w:rFonts w:cs="Times New Roman"/>
                <w:color w:val="000000"/>
                <w:sz w:val="15"/>
                <w:szCs w:val="15"/>
              </w:rPr>
              <w:t>32</w:t>
            </w:r>
            <w:r>
              <w:rPr>
                <w:rFonts w:hint="eastAsia" w:cs="Times New Roman"/>
                <w:color w:val="000000"/>
                <w:sz w:val="15"/>
                <w:szCs w:val="15"/>
              </w:rPr>
              <w:t xml:space="preserve"> </w:t>
            </w:r>
            <w:r>
              <w:rPr>
                <w:rFonts w:cs="Times New Roman"/>
                <w:color w:val="000000"/>
                <w:sz w:val="15"/>
                <w:szCs w:val="15"/>
              </w:rPr>
              <w:t>Lecture Hours</w:t>
            </w:r>
            <w:r>
              <w:rPr>
                <w:rFonts w:hint="eastAsia" w:cs="Times New Roman"/>
                <w:color w:val="000000"/>
                <w:sz w:val="15"/>
                <w:szCs w:val="15"/>
              </w:rPr>
              <w:t>;</w:t>
            </w:r>
            <w:r>
              <w:rPr>
                <w:rFonts w:cs="Times New Roman"/>
                <w:color w:val="000000"/>
                <w:sz w:val="15"/>
                <w:szCs w:val="15"/>
              </w:rPr>
              <w:t>2</w:t>
            </w:r>
            <w:r>
              <w:rPr>
                <w:rFonts w:hint="eastAsia" w:cs="Times New Roman"/>
                <w:color w:val="000000"/>
                <w:sz w:val="15"/>
                <w:szCs w:val="15"/>
              </w:rPr>
              <w:t xml:space="preserve"> </w:t>
            </w:r>
            <w:r>
              <w:rPr>
                <w:rFonts w:cs="Times New Roman"/>
                <w:color w:val="000000"/>
                <w:sz w:val="15"/>
                <w:szCs w:val="15"/>
              </w:rPr>
              <w:t>Credits</w:t>
            </w:r>
          </w:p>
        </w:tc>
      </w:tr>
      <w:tr>
        <w:tblPrEx>
          <w:tblLayout w:type="fixed"/>
        </w:tblPrEx>
        <w:trPr>
          <w:trHeight w:val="472" w:hRule="atLeast"/>
        </w:trPr>
        <w:tc>
          <w:tcPr>
            <w:tcW w:w="3686" w:type="dxa"/>
            <w:shd w:val="clear" w:color="auto" w:fill="B8CCE4"/>
            <w:vAlign w:val="center"/>
          </w:tcPr>
          <w:p>
            <w:pPr>
              <w:spacing w:after="160" w:afterLines="0" w:line="240" w:lineRule="auto"/>
              <w:rPr>
                <w:rFonts w:cs="Times New Roman"/>
                <w:b/>
                <w:bCs/>
                <w:color w:val="1F497D"/>
                <w:sz w:val="15"/>
                <w:szCs w:val="15"/>
              </w:rPr>
            </w:pPr>
            <w:r>
              <w:rPr>
                <w:rFonts w:hint="eastAsia" w:hAnsi="宋体" w:cs="Times New Roman"/>
                <w:b/>
                <w:bCs/>
                <w:color w:val="1F497D"/>
                <w:sz w:val="15"/>
                <w:szCs w:val="15"/>
              </w:rPr>
              <w:t>授课语言</w:t>
            </w:r>
            <w:r>
              <w:rPr>
                <w:rFonts w:cs="Times New Roman"/>
                <w:b/>
                <w:bCs/>
                <w:color w:val="1F497D"/>
                <w:sz w:val="15"/>
                <w:szCs w:val="15"/>
              </w:rPr>
              <w:t xml:space="preserve"> </w:t>
            </w:r>
            <w:r>
              <w:rPr>
                <w:rFonts w:hint="eastAsia" w:cs="Times New Roman"/>
                <w:b/>
                <w:bCs/>
                <w:color w:val="1F497D"/>
                <w:sz w:val="15"/>
                <w:szCs w:val="15"/>
              </w:rPr>
              <w:t>Language taught</w:t>
            </w:r>
          </w:p>
        </w:tc>
        <w:tc>
          <w:tcPr>
            <w:tcW w:w="4678" w:type="dxa"/>
            <w:vAlign w:val="center"/>
          </w:tcPr>
          <w:p>
            <w:pPr>
              <w:spacing w:after="160" w:afterLines="0" w:line="240" w:lineRule="auto"/>
              <w:rPr>
                <w:rFonts w:cs="Times New Roman"/>
                <w:color w:val="000000"/>
                <w:sz w:val="15"/>
                <w:szCs w:val="15"/>
              </w:rPr>
            </w:pPr>
            <w:r>
              <w:rPr>
                <w:rFonts w:hint="eastAsia" w:cs="Times New Roman"/>
                <w:color w:val="000000"/>
                <w:sz w:val="15"/>
                <w:szCs w:val="15"/>
              </w:rPr>
              <w:t>英语</w:t>
            </w:r>
            <w:r>
              <w:rPr>
                <w:rFonts w:hint="eastAsia" w:cs="Times New Roman"/>
                <w:color w:val="000000"/>
                <w:sz w:val="15"/>
                <w:szCs w:val="15"/>
              </w:rPr>
              <w:t xml:space="preserve"> English</w:t>
            </w:r>
          </w:p>
        </w:tc>
      </w:tr>
      <w:tr>
        <w:tblPrEx>
          <w:tblLayout w:type="fixed"/>
        </w:tblPrEx>
        <w:trPr>
          <w:trHeight w:val="472" w:hRule="atLeast"/>
        </w:trPr>
        <w:tc>
          <w:tcPr>
            <w:tcW w:w="3686" w:type="dxa"/>
            <w:shd w:val="clear" w:color="auto" w:fill="B8CCE4"/>
            <w:vAlign w:val="center"/>
          </w:tcPr>
          <w:p>
            <w:pPr>
              <w:spacing w:after="160" w:afterLines="0" w:line="240" w:lineRule="auto"/>
              <w:rPr>
                <w:rFonts w:hint="eastAsia" w:hAnsi="宋体" w:cs="Times New Roman"/>
                <w:b/>
                <w:bCs/>
                <w:color w:val="1F497D"/>
                <w:sz w:val="15"/>
                <w:szCs w:val="15"/>
              </w:rPr>
            </w:pPr>
            <w:r>
              <w:rPr>
                <w:rFonts w:hint="eastAsia" w:hAnsi="宋体" w:cs="Times New Roman"/>
                <w:b/>
                <w:bCs/>
                <w:color w:val="1F497D"/>
                <w:sz w:val="15"/>
                <w:szCs w:val="15"/>
              </w:rPr>
              <w:t>授课方式</w:t>
            </w:r>
            <w:r>
              <w:rPr>
                <w:rFonts w:hint="eastAsia" w:hAnsi="宋体" w:cs="Times New Roman"/>
                <w:b/>
                <w:bCs/>
                <w:color w:val="1F497D"/>
                <w:sz w:val="15"/>
                <w:szCs w:val="15"/>
              </w:rPr>
              <w:t xml:space="preserve"> </w:t>
            </w:r>
            <w:r>
              <w:rPr>
                <w:rFonts w:hAnsi="宋体" w:cs="Times New Roman"/>
                <w:b/>
                <w:bCs/>
                <w:color w:val="1F497D"/>
                <w:sz w:val="15"/>
                <w:szCs w:val="15"/>
              </w:rPr>
              <w:t>L</w:t>
            </w:r>
            <w:r>
              <w:rPr>
                <w:rFonts w:hint="eastAsia" w:hAnsi="宋体" w:cs="Times New Roman"/>
                <w:b/>
                <w:bCs/>
                <w:color w:val="1F497D"/>
                <w:sz w:val="15"/>
                <w:szCs w:val="15"/>
              </w:rPr>
              <w:t>ecture type</w:t>
            </w:r>
          </w:p>
        </w:tc>
        <w:tc>
          <w:tcPr>
            <w:tcW w:w="4678" w:type="dxa"/>
            <w:vAlign w:val="center"/>
          </w:tcPr>
          <w:p>
            <w:pPr>
              <w:spacing w:after="160" w:afterLines="0" w:line="240" w:lineRule="auto"/>
              <w:rPr>
                <w:rFonts w:hint="eastAsia" w:cs="Times New Roman"/>
                <w:color w:val="000000"/>
                <w:sz w:val="15"/>
                <w:szCs w:val="15"/>
              </w:rPr>
            </w:pPr>
            <w:r>
              <w:rPr>
                <w:rFonts w:cs="Times New Roman"/>
                <w:color w:val="000000"/>
                <w:sz w:val="15"/>
                <w:szCs w:val="15"/>
              </w:rPr>
              <w:t>线下</w:t>
            </w:r>
            <w:r>
              <w:rPr>
                <w:rFonts w:hint="eastAsia" w:cs="Times New Roman"/>
                <w:color w:val="000000"/>
                <w:sz w:val="15"/>
                <w:szCs w:val="15"/>
              </w:rPr>
              <w:t xml:space="preserve"> </w:t>
            </w:r>
            <w:r>
              <w:rPr>
                <w:rFonts w:cs="Times New Roman"/>
                <w:color w:val="000000"/>
                <w:sz w:val="15"/>
                <w:szCs w:val="15"/>
              </w:rPr>
              <w:t>In</w:t>
            </w:r>
            <w:r>
              <w:rPr>
                <w:rFonts w:hint="eastAsia" w:cs="Times New Roman"/>
                <w:color w:val="000000"/>
                <w:sz w:val="15"/>
                <w:szCs w:val="15"/>
              </w:rPr>
              <w:t xml:space="preserve"> </w:t>
            </w:r>
            <w:r>
              <w:rPr>
                <w:rFonts w:cs="Times New Roman"/>
                <w:color w:val="000000"/>
                <w:sz w:val="15"/>
                <w:szCs w:val="15"/>
              </w:rPr>
              <w:t>person</w:t>
            </w:r>
          </w:p>
        </w:tc>
      </w:tr>
    </w:tbl>
    <w:p>
      <w:pPr>
        <w:spacing w:before="100" w:beforeAutospacing="1" w:after="100" w:afterLines="0" w:afterAutospacing="1" w:line="240" w:lineRule="auto"/>
        <w:rPr>
          <w:rFonts w:hAnsi="宋体" w:cs="Times New Roman"/>
          <w:b/>
          <w:bCs/>
          <w:color w:val="000080"/>
          <w:szCs w:val="24"/>
        </w:rPr>
      </w:pPr>
      <w:r>
        <w:rPr>
          <w:rFonts w:hAnsi="宋体" w:cs="Times New Roman"/>
          <w:b/>
          <w:bCs/>
          <w:color w:val="000080"/>
          <w:sz w:val="28"/>
          <w:szCs w:val="28"/>
        </w:rPr>
        <w:br w:type="page"/>
      </w:r>
      <w:r>
        <w:rPr>
          <w:rFonts w:hAnsi="宋体" w:cs="Times New Roman"/>
          <w:b/>
          <w:bCs/>
          <w:color w:val="000080"/>
          <w:szCs w:val="24"/>
        </w:rPr>
        <w:t>课程目标</w:t>
      </w:r>
    </w:p>
    <w:p>
      <w:pPr>
        <w:spacing w:before="100" w:beforeAutospacing="1" w:after="100" w:afterLines="0" w:afterAutospacing="1" w:line="240" w:lineRule="auto"/>
        <w:rPr>
          <w:rFonts w:hAnsi="宋体" w:cs="Times New Roman"/>
          <w:color w:val="000000"/>
          <w:sz w:val="21"/>
          <w:szCs w:val="21"/>
        </w:rPr>
      </w:pPr>
      <w:r>
        <w:rPr>
          <w:rFonts w:hint="eastAsia" w:hAnsi="宋体" w:cs="Times New Roman"/>
          <w:color w:val="000000"/>
          <w:sz w:val="21"/>
          <w:szCs w:val="21"/>
        </w:rPr>
        <w:t>通过对非洲国家宪法中经济、社会与文化权利的全面学习，深入理解作为发展中国家典型代表的非洲国家，在探索和建立本国宪法制度、更好地利用宪法手段实现国家稳定和发展中做出的各种努力。在此基础上，让学生更好地认识到现代各国宪法制度的多样性，一国宪法制度是现代宪法思想、精神与原则的普适性与本国具体背景、时代要求相结合的产物。</w:t>
      </w:r>
    </w:p>
    <w:p>
      <w:pPr>
        <w:spacing w:before="100" w:beforeAutospacing="1" w:after="100" w:afterLines="0" w:afterAutospacing="1" w:line="240" w:lineRule="auto"/>
        <w:rPr>
          <w:rFonts w:cs="Times New Roman"/>
          <w:color w:val="000000"/>
          <w:szCs w:val="24"/>
        </w:rPr>
      </w:pPr>
      <w:r>
        <w:rPr>
          <w:rFonts w:cs="Times New Roman"/>
          <w:color w:val="000000"/>
          <w:szCs w:val="24"/>
        </w:rPr>
        <w:t>Learning Goals</w:t>
      </w:r>
    </w:p>
    <w:p>
      <w:pPr>
        <w:spacing w:before="100" w:beforeAutospacing="1" w:after="100" w:afterLines="0" w:afterAutospacing="1" w:line="240" w:lineRule="auto"/>
        <w:rPr>
          <w:rFonts w:cs="Times New Roman"/>
          <w:color w:val="000000"/>
          <w:sz w:val="18"/>
          <w:szCs w:val="18"/>
        </w:rPr>
      </w:pPr>
      <w:r>
        <w:rPr>
          <w:rFonts w:cs="Times New Roman"/>
          <w:color w:val="000000"/>
          <w:sz w:val="18"/>
          <w:szCs w:val="18"/>
        </w:rPr>
        <w:t xml:space="preserve">Through a comprehensive study of economic, social and cultural rights in </w:t>
      </w:r>
      <w:r>
        <w:rPr>
          <w:rFonts w:hint="eastAsia" w:cs="Times New Roman"/>
          <w:color w:val="000000"/>
          <w:sz w:val="18"/>
          <w:szCs w:val="18"/>
        </w:rPr>
        <w:t>Africa</w:t>
      </w:r>
      <w:r>
        <w:rPr>
          <w:rFonts w:cs="Times New Roman"/>
          <w:color w:val="000000"/>
          <w:sz w:val="18"/>
          <w:szCs w:val="18"/>
        </w:rPr>
        <w:t>n constitutions, the course will contribute to the students’ understanding of the efforts made by African countries, which are typical in developing countries, in exploring and establishing their own constitutional systems and making better use of constitutional means to achieve stability and national development. Furthermore, this course will also contribute to the students’ better understanding of the diversity of the constitutions of modern countries, which are the product of the combination of the universality of modern constitutional spirit, principles, the specific background of the respective country, and contemporary demands.</w:t>
      </w:r>
    </w:p>
    <w:p>
      <w:pPr>
        <w:spacing w:before="100" w:beforeAutospacing="1" w:after="100" w:afterLines="0" w:afterAutospacing="1" w:line="240" w:lineRule="auto"/>
        <w:rPr>
          <w:rFonts w:hAnsi="宋体" w:cs="Times New Roman"/>
          <w:b/>
          <w:bCs/>
          <w:color w:val="000080"/>
          <w:szCs w:val="24"/>
        </w:rPr>
      </w:pPr>
      <w:r>
        <w:rPr>
          <w:rFonts w:hint="eastAsia" w:hAnsi="宋体" w:cs="Times New Roman"/>
          <w:b/>
          <w:bCs/>
          <w:color w:val="000080"/>
          <w:szCs w:val="24"/>
        </w:rPr>
        <w:t>课程内容</w:t>
      </w:r>
    </w:p>
    <w:p>
      <w:pPr>
        <w:spacing w:before="100" w:beforeAutospacing="1" w:after="100" w:afterLines="0" w:afterAutospacing="1" w:line="240" w:lineRule="auto"/>
        <w:rPr>
          <w:rFonts w:ascii="宋体" w:hAnsi="宋体" w:cs="Times New Roman"/>
          <w:b/>
          <w:bCs/>
          <w:color w:val="000080"/>
          <w:sz w:val="21"/>
          <w:szCs w:val="21"/>
        </w:rPr>
      </w:pPr>
      <w:r>
        <w:rPr>
          <w:rFonts w:hint="eastAsia" w:ascii="宋体" w:hAnsi="宋体" w:cs="宋体"/>
          <w:kern w:val="0"/>
          <w:sz w:val="21"/>
          <w:szCs w:val="21"/>
        </w:rPr>
        <w:t>本课程将以非洲国家宪法中的经济、社会与文化权利作为学习中心，并以其作为分析非洲国家宪法制度的独特性的出发点。课程的主要内容包括：非洲国家宪法制度发展概述，尤其是冷战结束后的新发展趋势；非洲国家宪法权利体系的体系、特征与设计目的，尤其是其区别于西方国家宪法的方面及其原因；非洲国家宪法经社文权利的体系、特征与设计目的，尤其是其在促进国家发展中的作用；国际人权法对非洲国家宪法经社文权利的影响，尤其是非洲国家宪法对国际人权法律文件中权利体系的接纳情况；国际人权救济机制与非洲国家宪法经社文权利体系的关系，其中包括世界、非洲联盟以及非洲内部区域救济机制；非洲国家国内对宪法经社文权利的救济机制，尤其是涉及到对政府政策判断时的问题处理；非洲国家对宪法经社文权利在司法之外的实现方式，尤其是政府以立法、政策的方式实现此类权利的方式；非洲国家宪法经社文权利的实现情况与未来发展展望。</w:t>
      </w:r>
    </w:p>
    <w:p>
      <w:pPr>
        <w:spacing w:before="100" w:beforeAutospacing="1" w:after="100" w:afterLines="0" w:afterAutospacing="1" w:line="240" w:lineRule="auto"/>
        <w:jc w:val="left"/>
        <w:rPr>
          <w:rFonts w:hAnsi="宋体" w:cs="Times New Roman"/>
          <w:b/>
          <w:bCs/>
          <w:color w:val="000080"/>
          <w:szCs w:val="24"/>
        </w:rPr>
      </w:pPr>
      <w:r>
        <w:rPr>
          <w:rFonts w:hint="eastAsia" w:hAnsi="宋体" w:cs="Times New Roman"/>
          <w:b/>
          <w:bCs/>
          <w:color w:val="000080"/>
          <w:szCs w:val="24"/>
        </w:rPr>
        <w:t>Content</w:t>
      </w:r>
    </w:p>
    <w:p>
      <w:pPr>
        <w:spacing w:after="0" w:afterLines="0" w:line="240" w:lineRule="auto"/>
        <w:rPr>
          <w:rFonts w:cs="Times New Roman"/>
        </w:rPr>
      </w:pPr>
      <w:r>
        <w:rPr>
          <w:rFonts w:cs="Times New Roman"/>
          <w:color w:val="000000"/>
          <w:sz w:val="18"/>
          <w:szCs w:val="18"/>
        </w:rPr>
        <w:t xml:space="preserve">This course will focus on the economic, social and cultural rights in African constitutions and use them as a starting point for analyzing the features of African constitutions. The main contents of the course include: an overview of the development of African constitutions, especially the new trends since the end of the Cold War; the features and design purpose of the constitutional rights in African constitutions, especially the aspects that distinguish </w:t>
      </w:r>
      <w:r>
        <w:rPr>
          <w:rFonts w:hint="eastAsia" w:cs="Times New Roman"/>
          <w:color w:val="000000"/>
          <w:sz w:val="18"/>
          <w:szCs w:val="18"/>
        </w:rPr>
        <w:t>t</w:t>
      </w:r>
      <w:r>
        <w:rPr>
          <w:rFonts w:cs="Times New Roman"/>
          <w:color w:val="000000"/>
          <w:sz w:val="18"/>
          <w:szCs w:val="18"/>
        </w:rPr>
        <w:t xml:space="preserve">hem from their counterparts in Western constitutions and the considerations behind this distinguishment; the features and design purpose of the economic, social and cultural rights in African constitutions, in particular their role in promoting national development; the impact of international human rights law on the economic, social and cultural rights in African constitutions, in particular the adoption of the international human rights legal into the domestic constitutions of African countries; the relationship between international human rights remedies and the economic, social and cultural rights of African countries, including the </w:t>
      </w:r>
      <w:r>
        <w:rPr>
          <w:rFonts w:hint="eastAsia" w:cs="Times New Roman"/>
          <w:color w:val="000000"/>
          <w:sz w:val="18"/>
          <w:szCs w:val="18"/>
        </w:rPr>
        <w:t>interna</w:t>
      </w:r>
      <w:r>
        <w:rPr>
          <w:rFonts w:cs="Times New Roman"/>
          <w:color w:val="000000"/>
          <w:sz w:val="18"/>
          <w:szCs w:val="18"/>
        </w:rPr>
        <w:t xml:space="preserve">tional, the African Union and African sub-regional mechanisms; domestic remedies for economic, social and cultural rights in African countries, especially when it relates to the estimation of government policies; the non-judicial realization avenues of economic, social and cultural rights in African countries, especially the </w:t>
      </w:r>
      <w:r>
        <w:rPr>
          <w:rFonts w:hint="eastAsia" w:cs="Times New Roman"/>
          <w:color w:val="000000"/>
          <w:sz w:val="18"/>
          <w:szCs w:val="18"/>
        </w:rPr>
        <w:t>le</w:t>
      </w:r>
      <w:r>
        <w:rPr>
          <w:rFonts w:cs="Times New Roman"/>
          <w:color w:val="000000"/>
          <w:sz w:val="18"/>
          <w:szCs w:val="18"/>
        </w:rPr>
        <w:t xml:space="preserve">gislative and administrative measures adopted by the African </w:t>
      </w:r>
      <w:r>
        <w:rPr>
          <w:rFonts w:cs="Times New Roman"/>
          <w:color w:val="000000"/>
          <w:sz w:val="18"/>
          <w:szCs w:val="18"/>
        </w:rPr>
        <w:t>governments; the realization of economic, social and cultural rights in African countries and their future development prospects.</w:t>
      </w:r>
    </w:p>
    <w:p>
      <w:pPr>
        <w:spacing w:before="100" w:beforeAutospacing="1" w:after="100" w:afterLines="0" w:afterAutospacing="1" w:line="240" w:lineRule="auto"/>
        <w:rPr>
          <w:rFonts w:hAnsi="宋体" w:cs="Times New Roman"/>
          <w:b/>
          <w:bCs/>
          <w:color w:val="000080"/>
          <w:szCs w:val="24"/>
        </w:rPr>
      </w:pPr>
      <w:r>
        <w:rPr>
          <w:rFonts w:hint="eastAsia" w:hAnsi="宋体" w:cs="Times New Roman"/>
          <w:b/>
          <w:bCs/>
          <w:color w:val="000080"/>
          <w:szCs w:val="24"/>
        </w:rPr>
        <w:t>上课时间</w:t>
      </w:r>
    </w:p>
    <w:p>
      <w:pPr>
        <w:spacing w:before="100" w:beforeAutospacing="1" w:after="100" w:afterLines="0" w:afterAutospacing="1" w:line="240" w:lineRule="auto"/>
        <w:rPr>
          <w:rFonts w:hint="eastAsia" w:hAnsi="宋体" w:cs="Times New Roman"/>
          <w:szCs w:val="24"/>
        </w:rPr>
      </w:pPr>
      <w:r>
        <w:rPr>
          <w:rFonts w:hint="eastAsia" w:hAnsi="宋体" w:cs="Times New Roman"/>
          <w:szCs w:val="24"/>
        </w:rPr>
        <w:t>9月9日至10月18日（第一周至第六周），每周</w:t>
      </w:r>
      <w:r>
        <w:rPr>
          <w:rFonts w:hint="eastAsia" w:hAnsi="宋体" w:cs="Times New Roman"/>
          <w:szCs w:val="24"/>
          <w:lang w:eastAsia="zh-CN"/>
        </w:rPr>
        <w:t>二次</w:t>
      </w:r>
      <w:r>
        <w:rPr>
          <w:rFonts w:hint="eastAsia" w:hAnsi="宋体" w:cs="Times New Roman"/>
          <w:szCs w:val="24"/>
        </w:rPr>
        <w:t>课，每次课</w:t>
      </w:r>
      <w:r>
        <w:rPr>
          <w:rFonts w:hint="eastAsia" w:hAnsi="宋体" w:cs="Times New Roman"/>
          <w:szCs w:val="24"/>
          <w:lang w:eastAsia="zh-CN"/>
        </w:rPr>
        <w:t>四课</w:t>
      </w:r>
      <w:r>
        <w:rPr>
          <w:rFonts w:hint="eastAsia" w:hAnsi="宋体" w:cs="Times New Roman"/>
          <w:szCs w:val="24"/>
        </w:rPr>
        <w:t>时，安排在周三、周</w:t>
      </w:r>
      <w:r>
        <w:rPr>
          <w:rFonts w:hint="eastAsia" w:hAnsi="宋体" w:cs="Times New Roman"/>
          <w:szCs w:val="24"/>
          <w:lang w:eastAsia="zh-CN"/>
        </w:rPr>
        <w:t>五下午。</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altName w:val="DengXian"/>
    <w:panose1 w:val="02010600030101010101"/>
    <w:charset w:val="86"/>
    <w:family w:val="auto"/>
    <w:pitch w:val="default"/>
    <w:sig w:usb0="00000000" w:usb1="00000000" w:usb2="00000016" w:usb3="00000000" w:csb0="0004000F" w:csb1="00000000"/>
  </w:font>
  <w:font w:name="等线 Light">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 w:afterLines="20" w:line="300" w:lineRule="auto"/>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8"/>
    <w:qFormat/>
    <w:uiPriority w:val="9"/>
    <w:pPr>
      <w:keepNext/>
      <w:keepLines/>
      <w:spacing w:before="340" w:line="578" w:lineRule="auto"/>
      <w:outlineLvl w:val="0"/>
    </w:pPr>
    <w:rPr>
      <w:rFonts w:eastAsia="黑体" w:asciiTheme="minorHAnsi" w:hAnsiTheme="minorHAnsi"/>
      <w:bCs/>
      <w:kern w:val="44"/>
      <w:sz w:val="30"/>
      <w:szCs w:val="44"/>
    </w:rPr>
  </w:style>
  <w:style w:type="paragraph" w:styleId="3">
    <w:name w:val="heading 2"/>
    <w:basedOn w:val="1"/>
    <w:next w:val="1"/>
    <w:link w:val="17"/>
    <w:unhideWhenUsed/>
    <w:qFormat/>
    <w:uiPriority w:val="0"/>
    <w:pPr>
      <w:keepNext/>
      <w:keepLines/>
      <w:spacing w:before="260" w:line="415"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line="415" w:lineRule="auto"/>
      <w:outlineLvl w:val="2"/>
    </w:pPr>
    <w:rPr>
      <w:b/>
      <w:bCs/>
      <w:sz w:val="32"/>
      <w:szCs w:val="32"/>
    </w:rPr>
  </w:style>
  <w:style w:type="paragraph" w:styleId="5">
    <w:name w:val="heading 4"/>
    <w:basedOn w:val="1"/>
    <w:next w:val="1"/>
    <w:link w:val="21"/>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2"/>
    <w:unhideWhenUsed/>
    <w:qFormat/>
    <w:uiPriority w:val="9"/>
    <w:pPr>
      <w:keepNext/>
      <w:keepLines/>
      <w:spacing w:before="80" w:after="40"/>
      <w:outlineLvl w:val="4"/>
    </w:pPr>
    <w:rPr>
      <w:rFonts w:asciiTheme="minorHAnsi" w:hAnsiTheme="minorHAnsi" w:eastAsiaTheme="minorEastAsia" w:cstheme="majorBidi"/>
      <w:color w:val="104862" w:themeColor="accent1" w:themeShade="BF"/>
      <w:szCs w:val="24"/>
    </w:rPr>
  </w:style>
  <w:style w:type="paragraph" w:styleId="7">
    <w:name w:val="heading 6"/>
    <w:basedOn w:val="1"/>
    <w:next w:val="1"/>
    <w:link w:val="23"/>
    <w:unhideWhenUsed/>
    <w:qFormat/>
    <w:uiPriority w:val="9"/>
    <w:pPr>
      <w:keepNext/>
      <w:keepLines/>
      <w:spacing w:before="40" w:after="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4"/>
    <w:unhideWhenUsed/>
    <w:qFormat/>
    <w:uiPriority w:val="9"/>
    <w:pPr>
      <w:keepNext/>
      <w:keepLines/>
      <w:spacing w:before="40" w:after="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unhideWhenUsed/>
    <w:qFormat/>
    <w:uiPriority w:val="9"/>
    <w:pPr>
      <w:keepNext/>
      <w:keepLines/>
      <w:spacing w:after="0"/>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unhideWhenUsed/>
    <w:qFormat/>
    <w:uiPriority w:val="9"/>
    <w:pPr>
      <w:keepNext/>
      <w:keepLines/>
      <w:spacing w:after="0"/>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11">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footnote text"/>
    <w:basedOn w:val="1"/>
    <w:link w:val="16"/>
    <w:unhideWhenUsed/>
    <w:uiPriority w:val="99"/>
    <w:pPr>
      <w:snapToGrid w:val="0"/>
      <w:jc w:val="left"/>
    </w:pPr>
    <w:rPr>
      <w:sz w:val="18"/>
      <w:szCs w:val="18"/>
    </w:rPr>
  </w:style>
  <w:style w:type="paragraph" w:styleId="13">
    <w:name w:val="Title"/>
    <w:basedOn w:val="1"/>
    <w:next w:val="1"/>
    <w:link w:val="19"/>
    <w:qFormat/>
    <w:uiPriority w:val="10"/>
    <w:pPr>
      <w:spacing w:before="240"/>
      <w:jc w:val="left"/>
      <w:outlineLvl w:val="0"/>
    </w:pPr>
    <w:rPr>
      <w:rFonts w:asciiTheme="majorHAnsi" w:hAnsiTheme="majorHAnsi" w:eastAsiaTheme="majorEastAsia" w:cstheme="majorBidi"/>
      <w:b/>
      <w:bCs/>
      <w:sz w:val="32"/>
      <w:szCs w:val="32"/>
    </w:rPr>
  </w:style>
  <w:style w:type="character" w:customStyle="1" w:styleId="16">
    <w:name w:val="脚注文本 字符"/>
    <w:basedOn w:val="14"/>
    <w:link w:val="12"/>
    <w:semiHidden/>
    <w:uiPriority w:val="99"/>
    <w:rPr>
      <w:rFonts w:ascii="Times New Roman" w:hAnsi="Times New Roman" w:eastAsia="宋体"/>
      <w:sz w:val="18"/>
      <w:szCs w:val="18"/>
    </w:rPr>
  </w:style>
  <w:style w:type="character" w:customStyle="1" w:styleId="17">
    <w:name w:val="标题 2 字符"/>
    <w:basedOn w:val="14"/>
    <w:link w:val="3"/>
    <w:uiPriority w:val="0"/>
    <w:rPr>
      <w:rFonts w:asciiTheme="majorHAnsi" w:hAnsiTheme="majorHAnsi" w:eastAsiaTheme="majorEastAsia" w:cstheme="majorBidi"/>
      <w:b/>
      <w:bCs/>
      <w:sz w:val="32"/>
      <w:szCs w:val="32"/>
    </w:rPr>
  </w:style>
  <w:style w:type="character" w:customStyle="1" w:styleId="18">
    <w:name w:val="标题 1 字符"/>
    <w:basedOn w:val="14"/>
    <w:link w:val="2"/>
    <w:uiPriority w:val="9"/>
    <w:rPr>
      <w:rFonts w:eastAsia="黑体"/>
      <w:bCs/>
      <w:kern w:val="44"/>
      <w:sz w:val="30"/>
      <w:szCs w:val="44"/>
    </w:rPr>
  </w:style>
  <w:style w:type="character" w:customStyle="1" w:styleId="19">
    <w:name w:val="标题 字符"/>
    <w:basedOn w:val="14"/>
    <w:link w:val="13"/>
    <w:uiPriority w:val="10"/>
    <w:rPr>
      <w:rFonts w:asciiTheme="majorHAnsi" w:hAnsiTheme="majorHAnsi" w:eastAsiaTheme="majorEastAsia" w:cstheme="majorBidi"/>
      <w:b/>
      <w:bCs/>
      <w:sz w:val="32"/>
      <w:szCs w:val="32"/>
    </w:rPr>
  </w:style>
  <w:style w:type="character" w:customStyle="1" w:styleId="20">
    <w:name w:val="标题 3 字符"/>
    <w:basedOn w:val="14"/>
    <w:link w:val="4"/>
    <w:semiHidden/>
    <w:uiPriority w:val="9"/>
    <w:rPr>
      <w:rFonts w:ascii="Times New Roman" w:hAnsi="Times New Roman" w:eastAsia="宋体"/>
      <w:b/>
      <w:bCs/>
      <w:sz w:val="32"/>
      <w:szCs w:val="32"/>
    </w:rPr>
  </w:style>
  <w:style w:type="character" w:customStyle="1" w:styleId="21">
    <w:name w:val="标题 4 字符"/>
    <w:basedOn w:val="14"/>
    <w:link w:val="5"/>
    <w:semiHidden/>
    <w:uiPriority w:val="9"/>
    <w:rPr>
      <w:rFonts w:cstheme="majorBidi"/>
      <w:color w:val="104862" w:themeColor="accent1" w:themeShade="BF"/>
      <w:sz w:val="28"/>
      <w:szCs w:val="28"/>
    </w:rPr>
  </w:style>
  <w:style w:type="character" w:customStyle="1" w:styleId="22">
    <w:name w:val="标题 5 字符"/>
    <w:basedOn w:val="14"/>
    <w:link w:val="6"/>
    <w:semiHidden/>
    <w:uiPriority w:val="9"/>
    <w:rPr>
      <w:rFonts w:cstheme="majorBidi"/>
      <w:color w:val="104862" w:themeColor="accent1" w:themeShade="BF"/>
      <w:sz w:val="24"/>
      <w:szCs w:val="24"/>
    </w:rPr>
  </w:style>
  <w:style w:type="character" w:customStyle="1" w:styleId="23">
    <w:name w:val="标题 6 字符"/>
    <w:basedOn w:val="14"/>
    <w:link w:val="7"/>
    <w:semiHidden/>
    <w:uiPriority w:val="9"/>
    <w:rPr>
      <w:rFonts w:cstheme="majorBidi"/>
      <w:b/>
      <w:bCs/>
      <w:color w:val="104862" w:themeColor="accent1" w:themeShade="BF"/>
      <w:sz w:val="24"/>
    </w:rPr>
  </w:style>
  <w:style w:type="character" w:customStyle="1" w:styleId="24">
    <w:name w:val="标题 7 字符"/>
    <w:basedOn w:val="14"/>
    <w:link w:val="8"/>
    <w:semiHidden/>
    <w:uiPriority w:val="9"/>
    <w:rPr>
      <w:rFonts w:cstheme="majorBidi"/>
      <w:b/>
      <w:bCs/>
      <w:color w:val="595959" w:themeColor="text1" w:themeTint="A6"/>
      <w:sz w:val="24"/>
      <w14:textFill>
        <w14:solidFill>
          <w14:schemeClr w14:val="tx1">
            <w14:lumMod w14:val="65000"/>
            <w14:lumOff w14:val="35000"/>
          </w14:schemeClr>
        </w14:solidFill>
      </w14:textFill>
    </w:rPr>
  </w:style>
  <w:style w:type="character" w:customStyle="1" w:styleId="25">
    <w:name w:val="标题 8 字符"/>
    <w:basedOn w:val="14"/>
    <w:link w:val="9"/>
    <w:semiHidden/>
    <w:uiPriority w:val="9"/>
    <w:rPr>
      <w:rFonts w:cstheme="majorBidi"/>
      <w:color w:val="595959" w:themeColor="text1" w:themeTint="A6"/>
      <w:sz w:val="24"/>
      <w14:textFill>
        <w14:solidFill>
          <w14:schemeClr w14:val="tx1">
            <w14:lumMod w14:val="65000"/>
            <w14:lumOff w14:val="35000"/>
          </w14:schemeClr>
        </w14:solidFill>
      </w14:textFill>
    </w:rPr>
  </w:style>
  <w:style w:type="character" w:customStyle="1" w:styleId="26">
    <w:name w:val="标题 9 字符"/>
    <w:basedOn w:val="14"/>
    <w:link w:val="10"/>
    <w:semiHidden/>
    <w:uiPriority w:val="9"/>
    <w:rPr>
      <w:rFonts w:eastAsiaTheme="majorEastAsia" w:cstheme="majorBidi"/>
      <w:color w:val="595959" w:themeColor="text1" w:themeTint="A6"/>
      <w:sz w:val="24"/>
      <w14:textFill>
        <w14:solidFill>
          <w14:schemeClr w14:val="tx1">
            <w14:lumMod w14:val="65000"/>
            <w14:lumOff w14:val="35000"/>
          </w14:schemeClr>
        </w14:solidFill>
      </w14:textFill>
    </w:rPr>
  </w:style>
  <w:style w:type="character" w:customStyle="1" w:styleId="27">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customStyle="1"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4"/>
    <w:link w:val="28"/>
    <w:uiPriority w:val="29"/>
    <w:rPr>
      <w:rFonts w:ascii="Times New Roman" w:hAnsi="Times New Roman" w:eastAsia="宋体"/>
      <w:i/>
      <w:iCs/>
      <w:color w:val="404040" w:themeColor="text1" w:themeTint="BF"/>
      <w:sz w:val="24"/>
      <w14:textFill>
        <w14:solidFill>
          <w14:schemeClr w14:val="tx1">
            <w14:lumMod w14:val="75000"/>
            <w14:lumOff w14:val="25000"/>
          </w14:schemeClr>
        </w14:solidFill>
      </w14:textFill>
    </w:rPr>
  </w:style>
  <w:style w:type="paragraph" w:customStyle="1" w:styleId="30">
    <w:name w:val="List Paragraph"/>
    <w:basedOn w:val="1"/>
    <w:qFormat/>
    <w:uiPriority w:val="34"/>
    <w:pPr>
      <w:ind w:left="720"/>
      <w:contextualSpacing/>
    </w:pPr>
  </w:style>
  <w:style w:type="character" w:customStyle="1" w:styleId="31">
    <w:name w:val="Intense Emphasis"/>
    <w:basedOn w:val="14"/>
    <w:qFormat/>
    <w:uiPriority w:val="21"/>
    <w:rPr>
      <w:i/>
      <w:iCs/>
      <w:color w:val="104862" w:themeColor="accent1" w:themeShade="BF"/>
    </w:rPr>
  </w:style>
  <w:style w:type="paragraph" w:customStyle="1"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4"/>
    <w:link w:val="32"/>
    <w:uiPriority w:val="30"/>
    <w:rPr>
      <w:rFonts w:ascii="Times New Roman" w:hAnsi="Times New Roman" w:eastAsia="宋体"/>
      <w:i/>
      <w:iCs/>
      <w:color w:val="104862" w:themeColor="accent1" w:themeShade="BF"/>
      <w:sz w:val="24"/>
    </w:rPr>
  </w:style>
  <w:style w:type="character" w:customStyle="1" w:styleId="34">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627</Words>
  <Characters>3577</Characters>
  <Lines>29</Lines>
  <Paragraphs>8</Paragraphs>
  <TotalTime>0</TotalTime>
  <ScaleCrop>false</ScaleCrop>
  <LinksUpToDate>false</LinksUpToDate>
  <CharactersWithSpaces>4196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2024-06-12T10:56:00Z</dcterms:created>
  <dc:creator>Mai Cheng，</dc:creator>
  <cp:lastModifiedBy>iPhone</cp:lastModifiedBy>
  <dcterms:modified xsi:type="dcterms:W3CDTF">2024-08-29T11:53:58Z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11FB486962EAB83B68F0CF6688841C7E_31</vt:lpwstr>
  </property>
  <property fmtid="{D5CDD505-2E9C-101B-9397-08002B2CF9AE}" pid="3" name="KSOProductBuildVer">
    <vt:lpwstr>2052-12.14.0</vt:lpwstr>
  </property>
</Properties>
</file>