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4C58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36"/>
          <w:szCs w:val="36"/>
        </w:rPr>
        <w:t>《国际能源法》课程介绍</w:t>
      </w:r>
    </w:p>
    <w:p w14:paraId="46F7871E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根据教学安排，2024-2025学年秋季学期开设《国际能源法》引智项目教授公选课，由国际法学院负责组织，邀请直属俄罗斯外交部的莫斯科国家国际关系研究所（MGIMO大学）国际法学院</w:t>
      </w:r>
      <w:r>
        <w:rPr>
          <w:rFonts w:ascii="宋体" w:hAnsi="宋体" w:eastAsia="宋体" w:cs="宋体"/>
          <w:szCs w:val="21"/>
        </w:rPr>
        <w:t>Dmitry K. Labin</w:t>
      </w:r>
      <w:r>
        <w:rPr>
          <w:rFonts w:hint="eastAsia" w:ascii="宋体" w:hAnsi="宋体" w:eastAsia="宋体" w:cs="宋体"/>
          <w:szCs w:val="21"/>
        </w:rPr>
        <w:t>教授来我校为本科生和研究生授课，现向全校在读研究生开放选课。</w:t>
      </w:r>
    </w:p>
    <w:p w14:paraId="6C99AA88"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授课教授及课程简介</w:t>
      </w:r>
    </w:p>
    <w:p w14:paraId="6909E832">
      <w:pPr>
        <w:spacing w:after="160" w:line="276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Dmitry K. Labin</w:t>
      </w:r>
      <w:r>
        <w:rPr>
          <w:rFonts w:hint="eastAsia" w:ascii="宋体" w:hAnsi="宋体" w:eastAsia="宋体" w:cs="宋体"/>
          <w:szCs w:val="21"/>
        </w:rPr>
        <w:t>，教授，法学博士，任教于直属俄罗斯外交部的莫斯科国家国际关系研究所（</w:t>
      </w:r>
      <w:r>
        <w:rPr>
          <w:rFonts w:ascii="宋体" w:hAnsi="宋体" w:eastAsia="宋体" w:cs="宋体"/>
          <w:szCs w:val="21"/>
        </w:rPr>
        <w:t>MGIMO</w:t>
      </w:r>
      <w:r>
        <w:rPr>
          <w:rFonts w:hint="eastAsia" w:ascii="宋体" w:hAnsi="宋体" w:eastAsia="宋体" w:cs="宋体"/>
          <w:szCs w:val="21"/>
        </w:rPr>
        <w:t>大学）国际法学院，为国际经济法硕士课程的创始人及主要讲师。研究兴趣包括国际法与世界经济相互作用的基础法律研究，非再生自然资源与气候变化问题下国际、区域和国家层面有关能源领域的法律发展，跨境资本流动和投资仲裁的国际法律管制，以及体育人权。2018年获得俄罗斯外交部荣誉证书；2003年俄罗斯科学院青年学者年奖。</w:t>
      </w:r>
    </w:p>
    <w:p w14:paraId="0E410715">
      <w:pPr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二、课程将重点关注以下问题：</w:t>
      </w:r>
    </w:p>
    <w:p w14:paraId="5E12932E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1部分：国际能源经济法；《世贸组织规则》和《能源宪章条约》下的能源产品贸易条例；国家海洋管辖范围内能源生产的法律特性；跨界自然资源的法律地位；北极地区能源生产的法律制度；国家管辖范围以外使用矿产资源的国际法律制度；国际判例研习；有关开发自然资源期间保护环境的国际法律规定；根据国际法开发海上电网问题。</w:t>
      </w:r>
    </w:p>
    <w:p w14:paraId="244F627F"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第2部分：主要组织、联合经营协议、风险分配、争议解决、石油和天然气投资条约仲裁概述。</w:t>
      </w:r>
    </w:p>
    <w:p w14:paraId="24132098">
      <w:pPr>
        <w:ind w:firstLine="420" w:firstLineChars="200"/>
        <w:jc w:val="left"/>
      </w:pPr>
      <w:r>
        <w:rPr>
          <w:rFonts w:hint="eastAsia"/>
        </w:rPr>
        <w:t>6. 课堂考核和论文</w:t>
      </w:r>
    </w:p>
    <w:p w14:paraId="4B51FACB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课程上课时间集中在11月4日至11月15日（线下），共计32课时，课程学分2学分，可折抵培养计划规定的公选课课程学分。</w:t>
      </w:r>
    </w:p>
    <w:p w14:paraId="319F819E">
      <w:pPr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上课时间与地点如下：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280"/>
        <w:gridCol w:w="1373"/>
        <w:gridCol w:w="1523"/>
      </w:tblGrid>
      <w:tr w14:paraId="1F6B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96" w:type="dxa"/>
            <w:gridSpan w:val="4"/>
            <w:shd w:val="clear" w:color="auto" w:fill="auto"/>
            <w:vAlign w:val="center"/>
          </w:tcPr>
          <w:p w14:paraId="47B41453">
            <w:pPr>
              <w:spacing w:line="300" w:lineRule="auto"/>
              <w:jc w:val="center"/>
              <w:rPr>
                <w:rFonts w:ascii="宋体" w:hAnsi="宋体" w:eastAsia="宋体" w:cs="宋体"/>
                <w:b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eastAsia="zh-Hans"/>
              </w:rPr>
              <w:t>国际能源法</w:t>
            </w:r>
          </w:p>
        </w:tc>
      </w:tr>
      <w:tr w14:paraId="7341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shd w:val="clear" w:color="auto" w:fill="auto"/>
            <w:vAlign w:val="center"/>
          </w:tcPr>
          <w:p w14:paraId="52D4145E">
            <w:pPr>
              <w:spacing w:line="30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时间安排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36ED0A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7EE9610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时间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77C170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地点</w:t>
            </w:r>
          </w:p>
        </w:tc>
      </w:tr>
      <w:tr w14:paraId="6FDA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20D3AEB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第九周（11月4日-11月8日）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558C06F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星期一（11月4日）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59F38F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18:00-21:20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D28894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明法楼东B403</w:t>
            </w:r>
          </w:p>
        </w:tc>
      </w:tr>
      <w:tr w14:paraId="472E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continue"/>
            <w:shd w:val="clear" w:color="auto" w:fill="auto"/>
            <w:vAlign w:val="center"/>
          </w:tcPr>
          <w:p w14:paraId="5932B259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6ED8695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星期三（11月6日）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F5D55F5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13:45-17:10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295062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明法楼东B403</w:t>
            </w:r>
          </w:p>
        </w:tc>
      </w:tr>
      <w:tr w14:paraId="5EA2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continue"/>
            <w:shd w:val="clear" w:color="auto" w:fill="auto"/>
            <w:vAlign w:val="center"/>
          </w:tcPr>
          <w:p w14:paraId="5DBE784F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2BD7C48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星期三（11月6日）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6D03FC66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18:00-21：20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424D0F1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明法楼东B303</w:t>
            </w:r>
          </w:p>
        </w:tc>
      </w:tr>
      <w:tr w14:paraId="5706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continue"/>
            <w:shd w:val="clear" w:color="auto" w:fill="auto"/>
            <w:vAlign w:val="center"/>
          </w:tcPr>
          <w:p w14:paraId="344C818C"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105B864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星期五（11月8日）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36ECD18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8:00-21</w:t>
            </w:r>
            <w:r>
              <w:rPr>
                <w:rFonts w:ascii="宋体" w:hAnsi="宋体" w:eastAsia="宋体"/>
                <w:szCs w:val="21"/>
              </w:rPr>
              <w:t>: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3E6FCA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明法楼东B403</w:t>
            </w:r>
          </w:p>
        </w:tc>
      </w:tr>
      <w:tr w14:paraId="6AF7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7AEBC999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第十周（11月11日-11月15日）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58D6546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星期一（11月11日）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15545E7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18:00-21:20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98FF5D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明法楼东B403</w:t>
            </w:r>
          </w:p>
        </w:tc>
      </w:tr>
      <w:tr w14:paraId="5551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continue"/>
            <w:shd w:val="clear" w:color="auto" w:fill="auto"/>
            <w:vAlign w:val="center"/>
          </w:tcPr>
          <w:p w14:paraId="2FE2966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EC9F29E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星期三（11月13日）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F21AEC0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/>
                <w:szCs w:val="21"/>
              </w:rPr>
              <w:t>13:45-17:10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EA2AAF6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明法楼东B403</w:t>
            </w:r>
          </w:p>
        </w:tc>
      </w:tr>
      <w:tr w14:paraId="0117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continue"/>
            <w:shd w:val="clear" w:color="auto" w:fill="auto"/>
            <w:vAlign w:val="center"/>
          </w:tcPr>
          <w:p w14:paraId="3FEA73D5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206A86FA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星期三（11月13日）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1C8DB12">
            <w:pPr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18:00-21：20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1890880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明法楼东B303</w:t>
            </w:r>
          </w:p>
        </w:tc>
      </w:tr>
      <w:tr w14:paraId="4621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256" w:type="dxa"/>
            <w:vMerge w:val="continue"/>
            <w:shd w:val="clear" w:color="auto" w:fill="auto"/>
            <w:vAlign w:val="center"/>
          </w:tcPr>
          <w:p w14:paraId="71E4803C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6186F9C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星期五（11月15日）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27EB094">
            <w:pPr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8:00-21</w:t>
            </w:r>
            <w:r>
              <w:rPr>
                <w:rFonts w:ascii="宋体" w:hAnsi="宋体" w:eastAsia="宋体"/>
                <w:szCs w:val="21"/>
              </w:rPr>
              <w:t>: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148EFBC">
            <w:pPr>
              <w:spacing w:line="30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明法楼东B403</w:t>
            </w:r>
          </w:p>
        </w:tc>
      </w:tr>
    </w:tbl>
    <w:p w14:paraId="214BCBD1">
      <w:pPr>
        <w:jc w:val="left"/>
        <w:rPr>
          <w:rFonts w:ascii="宋体" w:hAnsi="宋体" w:eastAsia="宋体" w:cs="宋体"/>
          <w:szCs w:val="21"/>
        </w:rPr>
      </w:pPr>
    </w:p>
    <w:p w14:paraId="2E7D6629">
      <w:pPr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二、选课方法与时间</w:t>
      </w:r>
    </w:p>
    <w:p w14:paraId="726A09C7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选课方法与本校公选课选课方法一致。</w:t>
      </w:r>
      <w:bookmarkStart w:id="0" w:name="_GoBack"/>
      <w:bookmarkEnd w:id="0"/>
    </w:p>
    <w:p w14:paraId="2557C0CA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选课人数上限为30人。</w:t>
      </w:r>
    </w:p>
    <w:p w14:paraId="4F5C3B49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研究生管理信息系统纳入内网管理期间，如外网无法访问正常登录，须使用VPN设置。</w:t>
      </w:r>
    </w:p>
    <w:p w14:paraId="05B436AD">
      <w:pPr>
        <w:ind w:firstLine="42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三、选课须知</w:t>
      </w:r>
    </w:p>
    <w:p w14:paraId="01196F2D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1.引智课程可作为补充课程，由研究生根据自身情况自由选修。</w:t>
      </w:r>
    </w:p>
    <w:p w14:paraId="25F18C29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2.引智课程为英文授课</w:t>
      </w:r>
    </w:p>
    <w:p w14:paraId="1B4760F6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3.引智课程可替代法学硕士本一级学科公选课，非法学硕士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非本一</w:t>
      </w:r>
      <w:r>
        <w:rPr>
          <w:rFonts w:hint="eastAsia" w:ascii="宋体" w:hAnsi="宋体" w:eastAsia="宋体" w:cs="宋体"/>
          <w:szCs w:val="21"/>
        </w:rPr>
        <w:t>级学科公选课。法律硕士和法学博士可选修并获得成绩和学分，计入成绩绩点，不能替代本专业培养方案中的课程。</w:t>
      </w:r>
    </w:p>
    <w:p w14:paraId="787A5232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引智课程第一节课为试听课，退课应于开课后一天内联系国际法学院进行退课。</w:t>
      </w:r>
    </w:p>
    <w:p w14:paraId="4F99DA69"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特此通知。</w:t>
      </w:r>
    </w:p>
    <w:p w14:paraId="5B5C0472">
      <w:pPr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B02F893">
      <w:pPr>
        <w:ind w:firstLine="420" w:firstLineChars="200"/>
        <w:jc w:val="right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E54CA"/>
    <w:multiLevelType w:val="multilevel"/>
    <w:tmpl w:val="1EEE54CA"/>
    <w:lvl w:ilvl="0" w:tentative="0">
      <w:start w:val="1"/>
      <w:numFmt w:val="japaneseCounting"/>
      <w:lvlText w:val="%1、"/>
      <w:lvlJc w:val="left"/>
      <w:pPr>
        <w:ind w:left="857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YjIzM2JkNmJmMTAxNzJkN2FkNmI5M2Y5Yjc2Y2QifQ=="/>
  </w:docVars>
  <w:rsids>
    <w:rsidRoot w:val="001D4167"/>
    <w:rsid w:val="00024C06"/>
    <w:rsid w:val="001D4167"/>
    <w:rsid w:val="002551C2"/>
    <w:rsid w:val="003144E1"/>
    <w:rsid w:val="005D7FF2"/>
    <w:rsid w:val="00622B3B"/>
    <w:rsid w:val="007358A7"/>
    <w:rsid w:val="008861A7"/>
    <w:rsid w:val="00A36EE7"/>
    <w:rsid w:val="00A97A93"/>
    <w:rsid w:val="00BA2BE5"/>
    <w:rsid w:val="00CD1A9A"/>
    <w:rsid w:val="00CF4D2C"/>
    <w:rsid w:val="00D37619"/>
    <w:rsid w:val="00D633A5"/>
    <w:rsid w:val="00EB22DF"/>
    <w:rsid w:val="00F66B3A"/>
    <w:rsid w:val="0B4A5A83"/>
    <w:rsid w:val="1F782DFB"/>
    <w:rsid w:val="3C5041DA"/>
    <w:rsid w:val="3E6FA98F"/>
    <w:rsid w:val="3FFEAD28"/>
    <w:rsid w:val="77CCF178"/>
    <w:rsid w:val="7BBB4D0B"/>
    <w:rsid w:val="7FDBF17F"/>
    <w:rsid w:val="AFFFC449"/>
    <w:rsid w:val="B4D761B0"/>
    <w:rsid w:val="D6FBB4EB"/>
    <w:rsid w:val="DD4EC6AA"/>
    <w:rsid w:val="F7DF8CFF"/>
    <w:rsid w:val="FEBD587E"/>
    <w:rsid w:val="FE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1179</Characters>
  <Lines>20</Lines>
  <Paragraphs>17</Paragraphs>
  <TotalTime>1</TotalTime>
  <ScaleCrop>false</ScaleCrop>
  <LinksUpToDate>false</LinksUpToDate>
  <CharactersWithSpaces>1192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2024-09-27T16:05:00Z</dcterms:created>
  <dc:creator>LENOVO</dc:creator>
  <cp:lastModifiedBy>张震宇</cp:lastModifiedBy>
  <dcterms:modified xsi:type="dcterms:W3CDTF">2024-09-29T06:11:22Z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53FE8AB2FEF986DE0B4DDE6699169494_43</vt:lpwstr>
  </property>
</Properties>
</file>