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CFC1">
      <w:pPr>
        <w:jc w:val="left"/>
        <w:rPr>
          <w:rFonts w:hint="eastAsia" w:ascii="微软雅黑" w:hAnsi="微软雅黑" w:eastAsia="微软雅黑"/>
          <w:b/>
          <w:bCs/>
          <w:sz w:val="18"/>
          <w:szCs w:val="18"/>
          <w:bdr w:val="single" w:color="auto" w:sz="4" w:space="0"/>
        </w:rPr>
      </w:pPr>
      <w:bookmarkStart w:id="4" w:name="_GoBack"/>
      <w:bookmarkEnd w:id="4"/>
    </w:p>
    <w:p w14:paraId="3DBBF6C3">
      <w:pPr>
        <w:spacing w:after="160"/>
        <w:jc w:val="center"/>
        <w:rPr>
          <w:rFonts w:hint="eastAsia" w:hAnsi="宋体"/>
          <w:b/>
          <w:bCs/>
          <w:sz w:val="32"/>
          <w:szCs w:val="32"/>
        </w:rPr>
      </w:pPr>
      <w:r>
        <w:rPr>
          <w:rFonts w:hint="eastAsia" w:hAnsi="宋体"/>
          <w:b/>
          <w:bCs/>
          <w:sz w:val="32"/>
          <w:szCs w:val="32"/>
        </w:rPr>
        <w:t>医疗卫生法</w:t>
      </w:r>
    </w:p>
    <w:p w14:paraId="60854FD6">
      <w:pPr>
        <w:spacing w:after="160"/>
        <w:jc w:val="center"/>
        <w:rPr>
          <w:rFonts w:ascii="Calibri" w:hAnsi="Calibri" w:cs="Calibri"/>
          <w:b/>
          <w:bCs/>
          <w:sz w:val="28"/>
          <w:szCs w:val="28"/>
        </w:rPr>
      </w:pPr>
      <w:r>
        <w:rPr>
          <w:rFonts w:ascii="Calibri" w:hAnsi="Calibri" w:cs="Calibri"/>
          <w:b/>
          <w:bCs/>
          <w:sz w:val="28"/>
          <w:szCs w:val="28"/>
        </w:rPr>
        <w:t>Health and Medical Law</w:t>
      </w:r>
    </w:p>
    <w:p w14:paraId="7554A998">
      <w:pPr>
        <w:spacing w:before="100" w:beforeAutospacing="1" w:after="100" w:afterAutospacing="1"/>
        <w:rPr>
          <w:rFonts w:hint="eastAsia" w:hAnsi="宋体"/>
          <w:b/>
          <w:bCs/>
          <w:color w:val="000080"/>
          <w:sz w:val="24"/>
          <w:szCs w:val="24"/>
        </w:rPr>
      </w:pPr>
      <w:r>
        <w:rPr>
          <w:rFonts w:hint="eastAsia" w:hAnsi="宋体"/>
          <w:b/>
          <w:bCs/>
          <w:color w:val="000080"/>
          <w:sz w:val="24"/>
          <w:szCs w:val="24"/>
        </w:rPr>
        <w:t>课程主讲人简介</w:t>
      </w:r>
    </w:p>
    <w:p w14:paraId="33D7DC20">
      <w:pPr>
        <w:spacing w:before="100" w:beforeAutospacing="1" w:after="100" w:afterAutospacing="1"/>
        <w:ind w:firstLine="360" w:firstLineChars="200"/>
        <w:rPr>
          <w:rFonts w:hAnsi="宋体"/>
          <w:color w:val="000000"/>
          <w:sz w:val="18"/>
          <w:szCs w:val="18"/>
        </w:rPr>
      </w:pPr>
      <w:bookmarkStart w:id="0" w:name="OLE_LINK5"/>
      <w:bookmarkStart w:id="1" w:name="OLE_LINK4"/>
      <w:bookmarkStart w:id="2" w:name="OLE_LINK2"/>
      <w:bookmarkStart w:id="3" w:name="OLE_LINK1"/>
      <w:r>
        <w:rPr>
          <w:rFonts w:hint="eastAsia" w:hAnsi="宋体"/>
          <w:color w:val="000000"/>
          <w:sz w:val="18"/>
          <w:szCs w:val="18"/>
        </w:rPr>
        <w:t>Kim sung-bae教授在韩国首尔国民大学担任法学教授。他在美国威斯康星大学麦迪逊分校法学院获得法学博士学位（S.J.D.）。他曾担任韩国环境法协会、韩国公共土地法协会、韩国地方政府法协会的副会长，他是韩国医疗法协会的成员。他是韩国石棉受害者救济委员会的成员。他曾获得韩国政府立法部和环境部门的表彰。2011年，他获得了韩国公法协会颁发的年轻领军人物荣誉。2024年，他获得了韩国环境法学会学术奖。他是首尔市政府公务员考试医疗法考试委员会，忠清北道医疗服务公务员考试医疗法考试委员会以及工业卫生经理考试和工业安全经理考试委员会的成员。</w:t>
      </w:r>
    </w:p>
    <w:p w14:paraId="7AF2DEDC">
      <w:pPr>
        <w:spacing w:before="100" w:beforeAutospacing="1" w:after="100" w:afterAutospacing="1"/>
        <w:ind w:firstLine="482" w:firstLineChars="200"/>
        <w:rPr>
          <w:rFonts w:hint="eastAsia" w:hAnsi="宋体"/>
          <w:b/>
          <w:bCs/>
          <w:color w:val="000080"/>
          <w:sz w:val="24"/>
          <w:szCs w:val="24"/>
        </w:rPr>
      </w:pPr>
      <w:r>
        <w:rPr>
          <w:rFonts w:hAnsi="宋体"/>
          <w:b/>
          <w:bCs/>
          <w:color w:val="000080"/>
          <w:sz w:val="24"/>
          <w:szCs w:val="24"/>
        </w:rPr>
        <w:t>Profile</w:t>
      </w:r>
      <w:bookmarkEnd w:id="0"/>
      <w:bookmarkEnd w:id="1"/>
    </w:p>
    <w:bookmarkEnd w:id="2"/>
    <w:bookmarkEnd w:id="3"/>
    <w:p w14:paraId="12367825">
      <w:pPr>
        <w:spacing w:after="160" w:line="276" w:lineRule="auto"/>
        <w:ind w:firstLine="360" w:firstLineChars="200"/>
        <w:rPr>
          <w:rFonts w:hint="eastAsia" w:ascii="Calibri" w:hAnsi="Calibri" w:cs="Calibri"/>
          <w:color w:val="000000"/>
          <w:sz w:val="18"/>
          <w:szCs w:val="18"/>
        </w:rPr>
      </w:pPr>
      <w:r>
        <w:rPr>
          <w:rFonts w:ascii="Calibri" w:hAnsi="Calibri" w:cs="Calibri"/>
          <w:color w:val="000000"/>
          <w:sz w:val="18"/>
          <w:szCs w:val="18"/>
        </w:rPr>
        <w:t>Professor Kim Sung-bae works as a law professor at Kookmin University, Seoul Korea. He got S.J.D. from University of Wisconsin Law School at Madison U.S.. He has served vice president of Korean Environmental Law Association, Korea Public Land Law Association, Korean Local Governmental Law Association and a member of Korea Medical Law Association. He was a Member of the Asbestos Victims Relief Committee of Korea. He won commendations from Ministry of Governmental Legislation and Ministry of Environment Department of Korea. In 2011 He was awarded the Young Leading Scalar Honor from Korean Public Law Association. In 2024 received the Korean Environmental Law Society Academic Award. He is a member of the medical law examination committee for the Seoul Metropolitan Government Civil Service Examination, a member of the medical law examination committee for the Chungcheongbuk-do Medical Service Civil Service Examination, and a member of the examination committee for the Industrial Health Manager Examination and the Industrial Safety Manager Examination.</w:t>
      </w:r>
    </w:p>
    <w:p w14:paraId="0B3BA27E">
      <w:pPr>
        <w:spacing w:before="100" w:beforeAutospacing="1" w:after="100" w:afterAutospacing="1"/>
        <w:rPr>
          <w:rFonts w:hint="eastAsia" w:hAnsi="宋体"/>
          <w:b/>
          <w:bCs/>
          <w:color w:val="000080"/>
          <w:sz w:val="24"/>
          <w:szCs w:val="24"/>
        </w:rPr>
      </w:pPr>
      <w:r>
        <w:rPr>
          <w:rFonts w:hint="eastAsia" w:hAnsi="宋体"/>
          <w:b/>
          <w:bCs/>
          <w:color w:val="000080"/>
          <w:sz w:val="24"/>
          <w:szCs w:val="24"/>
        </w:rPr>
        <w:t xml:space="preserve">基本信息 </w:t>
      </w:r>
      <w:r>
        <w:rPr>
          <w:rFonts w:hAnsi="宋体"/>
          <w:b/>
          <w:bCs/>
          <w:color w:val="000080"/>
          <w:sz w:val="24"/>
          <w:szCs w:val="24"/>
        </w:rPr>
        <w:t>Basic information</w:t>
      </w:r>
    </w:p>
    <w:tbl>
      <w:tblPr>
        <w:tblStyle w:val="3"/>
        <w:tblpPr w:leftFromText="180" w:rightFromText="180" w:vertAnchor="text" w:horzAnchor="margin" w:tblpY="1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4678"/>
      </w:tblGrid>
      <w:tr w14:paraId="6D81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20B1B1FD">
            <w:pPr>
              <w:spacing w:after="160"/>
              <w:rPr>
                <w:b/>
                <w:bCs/>
                <w:color w:val="1F497D"/>
                <w:sz w:val="15"/>
                <w:szCs w:val="15"/>
              </w:rPr>
            </w:pPr>
            <w:r>
              <w:rPr>
                <w:rFonts w:hAnsi="宋体"/>
                <w:b/>
                <w:bCs/>
                <w:color w:val="1F497D"/>
                <w:sz w:val="15"/>
                <w:szCs w:val="15"/>
              </w:rPr>
              <w:t>院系</w:t>
            </w:r>
            <w:r>
              <w:rPr>
                <w:b/>
                <w:bCs/>
                <w:color w:val="1F497D"/>
                <w:sz w:val="15"/>
                <w:szCs w:val="15"/>
              </w:rPr>
              <w:t xml:space="preserve"> </w:t>
            </w:r>
            <w:r>
              <w:rPr>
                <w:rFonts w:hint="eastAsia"/>
                <w:b/>
                <w:bCs/>
                <w:color w:val="1F497D"/>
                <w:sz w:val="15"/>
                <w:szCs w:val="15"/>
              </w:rPr>
              <w:t xml:space="preserve"> </w:t>
            </w:r>
            <w:r>
              <w:rPr>
                <w:b/>
                <w:bCs/>
                <w:color w:val="1F497D"/>
                <w:sz w:val="15"/>
                <w:szCs w:val="15"/>
              </w:rPr>
              <w:t>School</w:t>
            </w:r>
          </w:p>
        </w:tc>
        <w:tc>
          <w:tcPr>
            <w:tcW w:w="4678" w:type="dxa"/>
            <w:vAlign w:val="center"/>
          </w:tcPr>
          <w:p w14:paraId="5C0601D6">
            <w:pPr>
              <w:rPr>
                <w:rFonts w:hint="eastAsia" w:hAnsi="宋体"/>
                <w:color w:val="000000"/>
                <w:sz w:val="15"/>
                <w:szCs w:val="15"/>
              </w:rPr>
            </w:pPr>
            <w:r>
              <w:rPr>
                <w:rFonts w:hint="eastAsia" w:hAnsi="宋体"/>
                <w:color w:val="000000"/>
                <w:sz w:val="15"/>
                <w:szCs w:val="15"/>
              </w:rPr>
              <w:t>中国法治战略研究院</w:t>
            </w:r>
            <w:r>
              <w:rPr>
                <w:color w:val="000000"/>
                <w:sz w:val="15"/>
                <w:szCs w:val="15"/>
              </w:rPr>
              <w:t xml:space="preserve"> </w:t>
            </w:r>
            <w:r>
              <w:rPr>
                <w:rFonts w:ascii="Calibri" w:hAnsi="Calibri" w:cs="Calibri"/>
                <w:color w:val="000000"/>
                <w:sz w:val="15"/>
                <w:szCs w:val="15"/>
              </w:rPr>
              <w:t>China Institute of Rule of Law Strategy</w:t>
            </w:r>
          </w:p>
        </w:tc>
      </w:tr>
      <w:tr w14:paraId="0303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17792362">
            <w:pPr>
              <w:spacing w:after="160"/>
              <w:rPr>
                <w:b/>
                <w:bCs/>
                <w:color w:val="1F497D"/>
                <w:sz w:val="15"/>
                <w:szCs w:val="15"/>
              </w:rPr>
            </w:pPr>
            <w:r>
              <w:rPr>
                <w:rFonts w:hAnsi="宋体"/>
                <w:b/>
                <w:bCs/>
                <w:color w:val="1F497D"/>
                <w:sz w:val="15"/>
                <w:szCs w:val="15"/>
              </w:rPr>
              <w:t>学科门类</w:t>
            </w:r>
            <w:r>
              <w:rPr>
                <w:b/>
                <w:bCs/>
                <w:color w:val="1F497D"/>
                <w:sz w:val="15"/>
                <w:szCs w:val="15"/>
              </w:rPr>
              <w:t xml:space="preserve"> Fields of Study</w:t>
            </w:r>
          </w:p>
        </w:tc>
        <w:tc>
          <w:tcPr>
            <w:tcW w:w="4678" w:type="dxa"/>
            <w:vAlign w:val="center"/>
          </w:tcPr>
          <w:p w14:paraId="1D4F3727">
            <w:pPr>
              <w:spacing w:after="160"/>
              <w:rPr>
                <w:color w:val="000000"/>
                <w:sz w:val="15"/>
                <w:szCs w:val="15"/>
              </w:rPr>
            </w:pPr>
            <w:r>
              <w:rPr>
                <w:rFonts w:hint="eastAsia" w:hAnsi="宋体"/>
                <w:color w:val="000000"/>
                <w:sz w:val="15"/>
                <w:szCs w:val="15"/>
              </w:rPr>
              <w:t xml:space="preserve">法学 </w:t>
            </w:r>
            <w:r>
              <w:rPr>
                <w:rFonts w:hint="eastAsia" w:ascii="Calibri" w:hAnsi="Calibri" w:cs="Calibri"/>
                <w:color w:val="000000"/>
                <w:sz w:val="15"/>
                <w:szCs w:val="15"/>
              </w:rPr>
              <w:t>Law</w:t>
            </w:r>
          </w:p>
        </w:tc>
      </w:tr>
      <w:tr w14:paraId="19AD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3AD54828">
            <w:pPr>
              <w:spacing w:after="160"/>
              <w:rPr>
                <w:b/>
                <w:bCs/>
                <w:color w:val="1F497D"/>
                <w:sz w:val="15"/>
                <w:szCs w:val="15"/>
              </w:rPr>
            </w:pPr>
            <w:r>
              <w:rPr>
                <w:rFonts w:hAnsi="宋体"/>
                <w:b/>
                <w:bCs/>
                <w:color w:val="1F497D"/>
                <w:sz w:val="15"/>
                <w:szCs w:val="15"/>
              </w:rPr>
              <w:t>所属一级学科名称</w:t>
            </w:r>
            <w:r>
              <w:rPr>
                <w:b/>
                <w:bCs/>
                <w:color w:val="1F497D"/>
                <w:sz w:val="15"/>
                <w:szCs w:val="15"/>
              </w:rPr>
              <w:t xml:space="preserve"> Disciplines</w:t>
            </w:r>
          </w:p>
        </w:tc>
        <w:tc>
          <w:tcPr>
            <w:tcW w:w="4678" w:type="dxa"/>
            <w:vAlign w:val="center"/>
          </w:tcPr>
          <w:p w14:paraId="233DECAB">
            <w:pPr>
              <w:spacing w:after="160"/>
              <w:rPr>
                <w:color w:val="000000"/>
                <w:sz w:val="15"/>
                <w:szCs w:val="15"/>
              </w:rPr>
            </w:pPr>
            <w:r>
              <w:rPr>
                <w:rFonts w:hint="eastAsia" w:hAnsi="宋体"/>
                <w:color w:val="000000"/>
                <w:sz w:val="15"/>
                <w:szCs w:val="15"/>
              </w:rPr>
              <w:t xml:space="preserve">法学 </w:t>
            </w:r>
            <w:r>
              <w:rPr>
                <w:rFonts w:hint="eastAsia" w:ascii="Calibri" w:hAnsi="Calibri" w:cs="Calibri"/>
                <w:color w:val="000000"/>
                <w:sz w:val="15"/>
                <w:szCs w:val="15"/>
              </w:rPr>
              <w:t>Law</w:t>
            </w:r>
          </w:p>
        </w:tc>
      </w:tr>
      <w:tr w14:paraId="20BF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22C5A985">
            <w:pPr>
              <w:spacing w:after="160"/>
              <w:rPr>
                <w:b/>
                <w:bCs/>
                <w:color w:val="1F497D"/>
                <w:sz w:val="15"/>
                <w:szCs w:val="15"/>
              </w:rPr>
            </w:pPr>
            <w:r>
              <w:rPr>
                <w:rFonts w:hAnsi="宋体"/>
                <w:b/>
                <w:bCs/>
                <w:color w:val="1F497D"/>
                <w:sz w:val="15"/>
                <w:szCs w:val="15"/>
              </w:rPr>
              <w:t>所属二级学科名称</w:t>
            </w:r>
            <w:r>
              <w:rPr>
                <w:b/>
                <w:bCs/>
                <w:color w:val="1F497D"/>
                <w:sz w:val="15"/>
                <w:szCs w:val="15"/>
              </w:rPr>
              <w:t xml:space="preserve"> Sub-Disciplines</w:t>
            </w:r>
          </w:p>
        </w:tc>
        <w:tc>
          <w:tcPr>
            <w:tcW w:w="4678" w:type="dxa"/>
            <w:vAlign w:val="center"/>
          </w:tcPr>
          <w:p w14:paraId="14050C91">
            <w:pPr>
              <w:spacing w:after="160"/>
              <w:rPr>
                <w:color w:val="000000"/>
                <w:sz w:val="15"/>
                <w:szCs w:val="15"/>
              </w:rPr>
            </w:pPr>
            <w:r>
              <w:rPr>
                <w:rFonts w:hint="eastAsia" w:hAnsi="宋体"/>
                <w:color w:val="000000"/>
                <w:sz w:val="15"/>
                <w:szCs w:val="15"/>
              </w:rPr>
              <w:t xml:space="preserve">卫生健康法学 </w:t>
            </w:r>
            <w:r>
              <w:rPr>
                <w:rFonts w:hint="eastAsia" w:ascii="Calibri" w:hAnsi="Calibri" w:cs="Calibri"/>
                <w:color w:val="000000"/>
                <w:sz w:val="15"/>
                <w:szCs w:val="15"/>
              </w:rPr>
              <w:t>Health Law</w:t>
            </w:r>
          </w:p>
        </w:tc>
      </w:tr>
      <w:tr w14:paraId="436B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776D9AD7">
            <w:pPr>
              <w:spacing w:after="160"/>
              <w:rPr>
                <w:rFonts w:hint="eastAsia" w:hAnsi="宋体"/>
                <w:b/>
                <w:bCs/>
                <w:color w:val="1F497D"/>
                <w:sz w:val="15"/>
                <w:szCs w:val="15"/>
              </w:rPr>
            </w:pPr>
            <w:r>
              <w:rPr>
                <w:rFonts w:hint="eastAsia" w:hAnsi="宋体"/>
                <w:b/>
                <w:bCs/>
                <w:color w:val="1F497D"/>
                <w:sz w:val="15"/>
                <w:szCs w:val="15"/>
              </w:rPr>
              <w:t>先修课程</w:t>
            </w:r>
            <w:r>
              <w:rPr>
                <w:b/>
                <w:bCs/>
                <w:color w:val="1F497D"/>
                <w:sz w:val="15"/>
                <w:szCs w:val="15"/>
              </w:rPr>
              <w:t xml:space="preserve"> Prerequisites</w:t>
            </w:r>
          </w:p>
        </w:tc>
        <w:tc>
          <w:tcPr>
            <w:tcW w:w="4678" w:type="dxa"/>
            <w:vAlign w:val="center"/>
          </w:tcPr>
          <w:p w14:paraId="42DA152E">
            <w:pPr>
              <w:spacing w:after="160"/>
              <w:rPr>
                <w:rFonts w:hint="eastAsia" w:hAnsi="宋体"/>
                <w:color w:val="000000"/>
                <w:sz w:val="15"/>
                <w:szCs w:val="15"/>
              </w:rPr>
            </w:pPr>
            <w:r>
              <w:rPr>
                <w:rFonts w:hint="eastAsia"/>
                <w:color w:val="000000"/>
                <w:sz w:val="15"/>
                <w:szCs w:val="15"/>
              </w:rPr>
              <w:t xml:space="preserve">卫生健康法总论 </w:t>
            </w:r>
            <w:r>
              <w:rPr>
                <w:rFonts w:hint="eastAsia" w:ascii="Calibri" w:hAnsi="Calibri" w:cs="Calibri"/>
                <w:color w:val="000000"/>
                <w:sz w:val="15"/>
                <w:szCs w:val="15"/>
              </w:rPr>
              <w:t>General Theory of Health Law</w:t>
            </w:r>
          </w:p>
        </w:tc>
      </w:tr>
      <w:tr w14:paraId="0AF5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06BF529C">
            <w:pPr>
              <w:spacing w:after="160" w:line="240" w:lineRule="exact"/>
              <w:rPr>
                <w:b/>
                <w:bCs/>
                <w:color w:val="1F497D"/>
                <w:sz w:val="15"/>
                <w:szCs w:val="15"/>
              </w:rPr>
            </w:pPr>
            <w:r>
              <w:rPr>
                <w:rFonts w:hAnsi="宋体"/>
                <w:b/>
                <w:bCs/>
                <w:color w:val="1F497D"/>
                <w:sz w:val="15"/>
                <w:szCs w:val="15"/>
              </w:rPr>
              <w:t>选课对象</w:t>
            </w:r>
            <w:r>
              <w:rPr>
                <w:b/>
                <w:bCs/>
                <w:color w:val="1F497D"/>
                <w:sz w:val="15"/>
                <w:szCs w:val="15"/>
              </w:rPr>
              <w:t xml:space="preserve"> Registration Recommendations</w:t>
            </w:r>
          </w:p>
        </w:tc>
        <w:tc>
          <w:tcPr>
            <w:tcW w:w="4678" w:type="dxa"/>
            <w:vAlign w:val="center"/>
          </w:tcPr>
          <w:p w14:paraId="74D0D7DA">
            <w:pPr>
              <w:spacing w:after="160"/>
              <w:rPr>
                <w:color w:val="000000"/>
                <w:sz w:val="15"/>
                <w:szCs w:val="15"/>
              </w:rPr>
            </w:pPr>
            <w:r>
              <w:rPr>
                <w:rFonts w:hint="eastAsia" w:hAnsi="宋体"/>
                <w:color w:val="000000"/>
                <w:sz w:val="15"/>
                <w:szCs w:val="15"/>
              </w:rPr>
              <w:t xml:space="preserve">卫生健康法学硕士研究生 </w:t>
            </w:r>
            <w:r>
              <w:rPr>
                <w:rFonts w:hint="eastAsia" w:ascii="Calibri" w:hAnsi="Calibri" w:cs="Calibri"/>
                <w:color w:val="000000"/>
                <w:sz w:val="15"/>
                <w:szCs w:val="15"/>
              </w:rPr>
              <w:t>Postgraduate Student in Health Law</w:t>
            </w:r>
          </w:p>
        </w:tc>
      </w:tr>
      <w:tr w14:paraId="1FC1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0F14480C">
            <w:pPr>
              <w:spacing w:after="160" w:line="240" w:lineRule="exact"/>
              <w:rPr>
                <w:rFonts w:hint="eastAsia" w:hAnsi="宋体"/>
                <w:b/>
                <w:bCs/>
                <w:color w:val="1F497D"/>
                <w:sz w:val="15"/>
                <w:szCs w:val="15"/>
              </w:rPr>
            </w:pPr>
            <w:r>
              <w:rPr>
                <w:rFonts w:hAnsi="宋体"/>
                <w:b/>
                <w:bCs/>
                <w:color w:val="1F497D"/>
                <w:sz w:val="15"/>
                <w:szCs w:val="15"/>
              </w:rPr>
              <w:t>课时与学分 Lecture Hours &amp; Credits</w:t>
            </w:r>
          </w:p>
        </w:tc>
        <w:tc>
          <w:tcPr>
            <w:tcW w:w="4678" w:type="dxa"/>
            <w:vAlign w:val="center"/>
          </w:tcPr>
          <w:p w14:paraId="181CB10E">
            <w:pPr>
              <w:spacing w:after="160" w:line="240" w:lineRule="exact"/>
              <w:rPr>
                <w:rFonts w:hint="eastAsia" w:hAnsi="宋体"/>
                <w:b/>
                <w:bCs/>
                <w:color w:val="000000"/>
                <w:sz w:val="15"/>
                <w:szCs w:val="15"/>
              </w:rPr>
            </w:pPr>
            <w:r>
              <w:rPr>
                <w:rFonts w:hint="eastAsia" w:hAnsi="宋体"/>
                <w:bCs/>
                <w:color w:val="000000"/>
                <w:sz w:val="15"/>
                <w:szCs w:val="15"/>
              </w:rPr>
              <w:t xml:space="preserve">20课时;2学分 </w:t>
            </w:r>
            <w:r>
              <w:rPr>
                <w:rFonts w:hint="eastAsia" w:ascii="Calibri" w:hAnsi="Calibri" w:cs="Calibri"/>
                <w:color w:val="000000"/>
                <w:sz w:val="15"/>
                <w:szCs w:val="15"/>
              </w:rPr>
              <w:t>20Lecture Hours; 2 Credits</w:t>
            </w:r>
          </w:p>
        </w:tc>
      </w:tr>
      <w:tr w14:paraId="7C47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4EBC3273">
            <w:pPr>
              <w:spacing w:after="160"/>
              <w:rPr>
                <w:b/>
                <w:bCs/>
                <w:color w:val="1F497D"/>
                <w:sz w:val="15"/>
                <w:szCs w:val="15"/>
              </w:rPr>
            </w:pPr>
            <w:r>
              <w:rPr>
                <w:rFonts w:hint="eastAsia" w:hAnsi="宋体"/>
                <w:b/>
                <w:bCs/>
                <w:color w:val="1F497D"/>
                <w:sz w:val="15"/>
                <w:szCs w:val="15"/>
              </w:rPr>
              <w:t>授课语言</w:t>
            </w:r>
            <w:r>
              <w:rPr>
                <w:b/>
                <w:bCs/>
                <w:color w:val="1F497D"/>
                <w:sz w:val="15"/>
                <w:szCs w:val="15"/>
              </w:rPr>
              <w:t xml:space="preserve"> </w:t>
            </w:r>
            <w:r>
              <w:rPr>
                <w:rFonts w:hint="eastAsia"/>
                <w:b/>
                <w:bCs/>
                <w:color w:val="1F497D"/>
                <w:sz w:val="15"/>
                <w:szCs w:val="15"/>
              </w:rPr>
              <w:t>Language taught</w:t>
            </w:r>
          </w:p>
        </w:tc>
        <w:tc>
          <w:tcPr>
            <w:tcW w:w="4678" w:type="dxa"/>
            <w:vAlign w:val="center"/>
          </w:tcPr>
          <w:p w14:paraId="24E83BB9">
            <w:pPr>
              <w:spacing w:after="160"/>
              <w:rPr>
                <w:color w:val="000000"/>
                <w:sz w:val="15"/>
                <w:szCs w:val="15"/>
              </w:rPr>
            </w:pPr>
            <w:r>
              <w:rPr>
                <w:rFonts w:hint="eastAsia"/>
                <w:color w:val="000000"/>
                <w:sz w:val="15"/>
                <w:szCs w:val="15"/>
              </w:rPr>
              <w:t xml:space="preserve">英语 </w:t>
            </w:r>
            <w:r>
              <w:rPr>
                <w:rFonts w:hint="eastAsia" w:ascii="Calibri" w:hAnsi="Calibri" w:cs="Calibri"/>
                <w:color w:val="000000"/>
                <w:sz w:val="15"/>
                <w:szCs w:val="15"/>
              </w:rPr>
              <w:t>English</w:t>
            </w:r>
          </w:p>
        </w:tc>
      </w:tr>
    </w:tbl>
    <w:p w14:paraId="375441B5">
      <w:pPr>
        <w:spacing w:before="100" w:beforeAutospacing="1" w:after="100" w:afterAutospacing="1"/>
        <w:rPr>
          <w:rFonts w:hAnsi="宋体"/>
          <w:b/>
          <w:bCs/>
          <w:color w:val="000080"/>
          <w:sz w:val="28"/>
          <w:szCs w:val="28"/>
        </w:rPr>
      </w:pPr>
    </w:p>
    <w:p w14:paraId="09D5819C">
      <w:pPr>
        <w:spacing w:before="100" w:beforeAutospacing="1" w:after="100" w:afterAutospacing="1"/>
        <w:rPr>
          <w:rFonts w:hint="eastAsia" w:hAnsi="宋体"/>
          <w:b/>
          <w:bCs/>
          <w:color w:val="000080"/>
          <w:sz w:val="24"/>
          <w:szCs w:val="24"/>
        </w:rPr>
      </w:pPr>
      <w:r>
        <w:rPr>
          <w:rFonts w:hAnsi="宋体"/>
          <w:b/>
          <w:bCs/>
          <w:color w:val="000080"/>
          <w:sz w:val="24"/>
          <w:szCs w:val="24"/>
        </w:rPr>
        <w:t>课程目标</w:t>
      </w:r>
    </w:p>
    <w:p w14:paraId="18A540E9">
      <w:pPr>
        <w:spacing w:before="100" w:beforeAutospacing="1" w:after="100" w:afterAutospacing="1"/>
        <w:ind w:firstLine="360" w:firstLineChars="200"/>
        <w:rPr>
          <w:color w:val="000000"/>
          <w:sz w:val="18"/>
          <w:szCs w:val="18"/>
        </w:rPr>
      </w:pPr>
      <w:r>
        <w:rPr>
          <w:rFonts w:hint="eastAsia"/>
          <w:color w:val="000000"/>
          <w:sz w:val="18"/>
          <w:szCs w:val="18"/>
        </w:rPr>
        <w:t>本课程向学生介绍韩国医疗法律体系和医疗法律的发展，并介绍韩国医疗法律中主要的个人医疗相关法律，使学生能够从比较法律的角度比较中韩医疗法律，促进中国医疗法律的发展。此外，它还向学生介绍关于维持生命治疗、撤销维持生命治疗和刑事责任的案例法，以及韩国其他重要的医疗相关案例，使学生能够分析法律问题，审查判决的意义以及判决后法律的变化，并为中国医疗法和案例解决寻找启示。</w:t>
      </w:r>
    </w:p>
    <w:p w14:paraId="6BAE7D55">
      <w:pPr>
        <w:spacing w:before="100" w:beforeAutospacing="1" w:after="100" w:afterAutospacing="1"/>
        <w:rPr>
          <w:b/>
          <w:bCs/>
          <w:color w:val="000080"/>
          <w:sz w:val="24"/>
          <w:szCs w:val="24"/>
        </w:rPr>
      </w:pPr>
      <w:r>
        <w:rPr>
          <w:b/>
          <w:bCs/>
          <w:color w:val="000080"/>
          <w:sz w:val="24"/>
          <w:szCs w:val="24"/>
        </w:rPr>
        <w:t>Learning Goals</w:t>
      </w:r>
    </w:p>
    <w:p w14:paraId="2F6F85D6">
      <w:pPr>
        <w:ind w:firstLine="360" w:firstLineChars="200"/>
        <w:rPr>
          <w:rFonts w:ascii="Calibri" w:hAnsi="Calibri" w:cs="Calibri"/>
          <w:color w:val="000000"/>
          <w:sz w:val="18"/>
          <w:szCs w:val="18"/>
        </w:rPr>
      </w:pPr>
      <w:r>
        <w:rPr>
          <w:rFonts w:ascii="Calibri" w:hAnsi="Calibri" w:cs="Calibri"/>
          <w:color w:val="000000"/>
          <w:sz w:val="18"/>
          <w:szCs w:val="18"/>
        </w:rPr>
        <w:t>This course introduces students to the Korean medical law system and the development of medical law, and introduces major individual medical-related laws in Korean medical law, so that students can compare Korean and Chinese medical laws on their own from a comparative legal perspective and promote the development of Chinese medical law. In addition, it introduces students to case law on life-sustaining treatment, withdrawal of life-sustaining treatment, and criminal liability, as well as other important medical-related cases in Korea, so that they can analyze legal issues, examine the meaning of the ruling, and the changes in the law after the ruling, and find implications for Chinese medical law and case resolution.</w:t>
      </w:r>
    </w:p>
    <w:p w14:paraId="6744FF6D">
      <w:pPr>
        <w:spacing w:before="100" w:beforeAutospacing="1" w:after="100" w:afterAutospacing="1"/>
        <w:rPr>
          <w:rFonts w:hint="eastAsia" w:ascii="仿宋_GB2312" w:hAnsi="宋体" w:eastAsia="仿宋_GB2312" w:cs="宋体"/>
          <w:kern w:val="0"/>
          <w:sz w:val="24"/>
          <w:szCs w:val="24"/>
        </w:rPr>
      </w:pPr>
      <w:r>
        <w:rPr>
          <w:rFonts w:hint="eastAsia" w:hAnsi="宋体"/>
          <w:b/>
          <w:bCs/>
          <w:color w:val="000080"/>
          <w:sz w:val="24"/>
          <w:szCs w:val="24"/>
        </w:rPr>
        <w:t>课程内容</w:t>
      </w:r>
    </w:p>
    <w:p w14:paraId="7BF24A2D">
      <w:pPr>
        <w:ind w:firstLine="360" w:firstLineChars="200"/>
        <w:rPr>
          <w:color w:val="000000"/>
          <w:sz w:val="18"/>
          <w:szCs w:val="18"/>
        </w:rPr>
      </w:pPr>
      <w:r>
        <w:rPr>
          <w:rFonts w:hint="eastAsia"/>
          <w:color w:val="000000"/>
          <w:sz w:val="18"/>
          <w:szCs w:val="18"/>
        </w:rPr>
        <w:t>本课程将学习韩国医学法、传染病法等主要医学法律的基本内容和问题。包括《传染病预防和控制法》、《检疫法》、《紧急医疗服务法》、《卫生和医疗服务框架法》、《国家健康促进法》、《公共卫生和医疗服务法》、《临终关怀和姑息治疗法》以及《关于终末期患者维持生命治疗的决定法》等。还将介绍韩国法院与医疗法律相关的判决，并在类似案件在中国发生时，与学生交流判决内容，并促进两国医疗法律的发展。通过比较法的方法，旨在提高学生对医疗行政法和医疗法领域比较法律思维的认识。这门课程将根据上课天数灵活调整韩国医疗法律的介绍，根据学生的兴趣和关注点调整课程内容，并与学生讨论韩国案例法，调查和探讨法律问题和问题。</w:t>
      </w:r>
    </w:p>
    <w:p w14:paraId="6DDEFCF0">
      <w:pPr>
        <w:ind w:firstLine="360" w:firstLineChars="200"/>
        <w:rPr>
          <w:rFonts w:hint="eastAsia"/>
          <w:color w:val="000000"/>
          <w:sz w:val="18"/>
          <w:szCs w:val="18"/>
        </w:rPr>
      </w:pPr>
    </w:p>
    <w:p w14:paraId="1171353B">
      <w:pPr>
        <w:rPr>
          <w:rFonts w:hAnsi="宋体"/>
          <w:b/>
          <w:bCs/>
          <w:color w:val="000080"/>
          <w:sz w:val="24"/>
          <w:szCs w:val="24"/>
        </w:rPr>
      </w:pPr>
      <w:r>
        <w:rPr>
          <w:rFonts w:hint="eastAsia" w:hAnsi="宋体"/>
          <w:b/>
          <w:bCs/>
          <w:color w:val="000080"/>
          <w:sz w:val="24"/>
          <w:szCs w:val="24"/>
        </w:rPr>
        <w:t>Content</w:t>
      </w:r>
    </w:p>
    <w:p w14:paraId="213FB81E">
      <w:pPr>
        <w:ind w:firstLine="360" w:firstLineChars="200"/>
        <w:rPr>
          <w:rFonts w:hint="eastAsia" w:hAnsi="宋体"/>
          <w:color w:val="000000"/>
          <w:sz w:val="18"/>
          <w:szCs w:val="18"/>
        </w:rPr>
      </w:pPr>
    </w:p>
    <w:p w14:paraId="77EC7F82">
      <w:pPr>
        <w:ind w:firstLine="360" w:firstLineChars="200"/>
        <w:rPr>
          <w:rFonts w:ascii="Calibri" w:hAnsi="Calibri" w:cs="Calibri"/>
          <w:color w:val="000000"/>
          <w:sz w:val="18"/>
          <w:szCs w:val="18"/>
        </w:rPr>
      </w:pPr>
      <w:r>
        <w:rPr>
          <w:rFonts w:ascii="Calibri" w:hAnsi="Calibri" w:cs="Calibri"/>
          <w:color w:val="000000"/>
          <w:sz w:val="18"/>
          <w:szCs w:val="18"/>
        </w:rPr>
        <w:t>This class will learn the basic contents and issues of major Korean medical laws such as the Korean Medical Law, the Infectious Disease Prevention and Control Act, the Quarantine Act, the Emergency Medical Services Act, the Framework Act on Health and Medical Services, the National Health Promotion Act, the Public Health and Medical Services Act, the Hospice and Palliative Care and the Act on Decisions on Life-Sustaining Treatment for Patients in the End-of-Life Process,, and the National Health Promotion Act etc.. It will also introduce Korean court decisions related to medical laws and, if the similar case occurs in China, exchange information about the contents of the decisions with students, and promote the development of medical laws in both countries. Through a comparative legal approach, it aims to promote students' knowledge of medical administration law and comparative legal thinking in the field of medical law. This class will flexibly adjust the introduction of Korean medical laws depending on the number of class days, adjust the class content according to students' interests and concerns, and investigate and explore legal issues and problems by discussing Korean case law with students.</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BF30">
    <w:pPr>
      <w:pStyle w:val="2"/>
      <w:jc w:val="right"/>
    </w:pPr>
    <w:r>
      <w:fldChar w:fldCharType="begin"/>
    </w:r>
    <w:r>
      <w:instrText xml:space="preserve"> PAGE   \* MERGEFORMAT </w:instrText>
    </w:r>
    <w:r>
      <w:fldChar w:fldCharType="separate"/>
    </w:r>
    <w:r>
      <w:rPr>
        <w:lang w:val="zh-CN"/>
      </w:rPr>
      <w:t>1</w:t>
    </w:r>
    <w:r>
      <w:fldChar w:fldCharType="end"/>
    </w:r>
  </w:p>
  <w:p w14:paraId="387960B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81E07"/>
    <w:rsid w:val="0009651D"/>
    <w:rsid w:val="000C71D2"/>
    <w:rsid w:val="000F5432"/>
    <w:rsid w:val="00173AB4"/>
    <w:rsid w:val="00181CBA"/>
    <w:rsid w:val="001E5305"/>
    <w:rsid w:val="00201547"/>
    <w:rsid w:val="002927D0"/>
    <w:rsid w:val="0029600A"/>
    <w:rsid w:val="002C6947"/>
    <w:rsid w:val="002D521E"/>
    <w:rsid w:val="002E3034"/>
    <w:rsid w:val="00336476"/>
    <w:rsid w:val="00371C5B"/>
    <w:rsid w:val="003B2930"/>
    <w:rsid w:val="003C6E94"/>
    <w:rsid w:val="00452822"/>
    <w:rsid w:val="0048388F"/>
    <w:rsid w:val="004904C0"/>
    <w:rsid w:val="004B69DB"/>
    <w:rsid w:val="004E1C4E"/>
    <w:rsid w:val="005866AC"/>
    <w:rsid w:val="005D188B"/>
    <w:rsid w:val="005E421D"/>
    <w:rsid w:val="00600671"/>
    <w:rsid w:val="00652B58"/>
    <w:rsid w:val="00670822"/>
    <w:rsid w:val="006A55C2"/>
    <w:rsid w:val="006C4FA8"/>
    <w:rsid w:val="00757948"/>
    <w:rsid w:val="00796903"/>
    <w:rsid w:val="007E593E"/>
    <w:rsid w:val="007F2370"/>
    <w:rsid w:val="009072B5"/>
    <w:rsid w:val="009459F9"/>
    <w:rsid w:val="00957D8B"/>
    <w:rsid w:val="009656E6"/>
    <w:rsid w:val="009E73E6"/>
    <w:rsid w:val="00A20EAF"/>
    <w:rsid w:val="00A21D13"/>
    <w:rsid w:val="00A349FA"/>
    <w:rsid w:val="00A41AEC"/>
    <w:rsid w:val="00AB2067"/>
    <w:rsid w:val="00B017FF"/>
    <w:rsid w:val="00B45D0A"/>
    <w:rsid w:val="00B54770"/>
    <w:rsid w:val="00BD6123"/>
    <w:rsid w:val="00BE7B21"/>
    <w:rsid w:val="00C64C88"/>
    <w:rsid w:val="00CA1874"/>
    <w:rsid w:val="00CC5367"/>
    <w:rsid w:val="00CF5FF1"/>
    <w:rsid w:val="00D36F26"/>
    <w:rsid w:val="00D414C8"/>
    <w:rsid w:val="00DF6CA4"/>
    <w:rsid w:val="00E3408E"/>
    <w:rsid w:val="00EB3214"/>
    <w:rsid w:val="00ED0E52"/>
    <w:rsid w:val="00EF1CE6"/>
    <w:rsid w:val="00F35A96"/>
    <w:rsid w:val="00F72138"/>
    <w:rsid w:val="00F94CDF"/>
    <w:rsid w:val="00FA1420"/>
    <w:rsid w:val="50B81E07"/>
    <w:rsid w:val="69E3037E"/>
    <w:rsid w:val="6D52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1338</Words>
  <Characters>3716</Characters>
  <Lines>30</Lines>
  <Paragraphs>8</Paragraphs>
  <TotalTime>29</TotalTime>
  <ScaleCrop>false</ScaleCrop>
  <LinksUpToDate>false</LinksUpToDate>
  <CharactersWithSpaces>4219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2020-12-29T08:40:00Z</dcterms:created>
  <dc:creator>田华</dc:creator>
  <cp:lastModifiedBy>张震宇</cp:lastModifiedBy>
  <dcterms:modified xsi:type="dcterms:W3CDTF">2026-03-11T02:14:53Z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1F1F3412309344E2A424AE7CDABCC055_13</vt:lpwstr>
  </property>
</Properties>
</file>