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BF222">
      <w:pPr>
        <w:spacing w:after="160"/>
        <w:jc w:val="center"/>
        <w:rPr>
          <w:rFonts w:hAnsi="宋体"/>
          <w:b/>
          <w:sz w:val="32"/>
          <w:szCs w:val="32"/>
        </w:rPr>
      </w:pPr>
      <w:r>
        <w:rPr>
          <w:rFonts w:hAnsi="宋体" w:cs="宋体"/>
          <w:b/>
          <w:sz w:val="32"/>
          <w:szCs w:val="32"/>
          <w:lang w:bidi="ar"/>
        </w:rPr>
        <w:t>中美人工智能治理比较研究</w:t>
      </w:r>
    </w:p>
    <w:p w14:paraId="7B64EC86">
      <w:pPr>
        <w:spacing w:after="160"/>
        <w:jc w:val="center"/>
        <w:rPr>
          <w:rFonts w:hAnsi="宋体"/>
          <w:b/>
          <w:sz w:val="28"/>
          <w:szCs w:val="28"/>
        </w:rPr>
      </w:pPr>
      <w:r>
        <w:rPr>
          <w:rFonts w:hAnsi="宋体"/>
          <w:b/>
          <w:sz w:val="28"/>
          <w:szCs w:val="28"/>
          <w:lang w:bidi="ar"/>
        </w:rPr>
        <w:t>Comparative AI Governance: China and the United States</w:t>
      </w:r>
    </w:p>
    <w:p w14:paraId="6C4B7B76">
      <w:pPr>
        <w:spacing w:before="100" w:beforeAutospacing="1" w:after="100" w:afterAutospacing="1"/>
        <w:rPr>
          <w:rFonts w:hAnsi="宋体"/>
          <w:b/>
          <w:bCs/>
          <w:color w:val="000080"/>
          <w:sz w:val="24"/>
          <w:szCs w:val="24"/>
        </w:rPr>
      </w:pPr>
      <w:r>
        <w:rPr>
          <w:rFonts w:hint="eastAsia" w:hAnsi="宋体"/>
          <w:b/>
          <w:bCs/>
          <w:color w:val="000080"/>
          <w:sz w:val="24"/>
          <w:szCs w:val="24"/>
        </w:rPr>
        <w:t>课程主讲人简介</w:t>
      </w:r>
    </w:p>
    <w:p w14:paraId="2431AEF9">
      <w:pPr>
        <w:spacing w:after="160" w:line="276" w:lineRule="auto"/>
        <w:ind w:firstLine="360" w:firstLineChars="200"/>
        <w:rPr>
          <w:rFonts w:hAnsi="宋体"/>
          <w:color w:val="FF0000"/>
          <w:sz w:val="18"/>
          <w:szCs w:val="18"/>
        </w:rPr>
      </w:pPr>
      <w:r>
        <w:rPr>
          <w:rFonts w:hint="eastAsia" w:hAnsi="宋体"/>
          <w:color w:val="000000"/>
          <w:sz w:val="18"/>
          <w:szCs w:val="18"/>
        </w:rPr>
        <w:t>白珂教授（Larry Catá Backer，1955年2月1日出生）是一位杰出的古巴裔美国法律学者，现任宾夕法尼亚州立大学法学院和国际事务学院的 W. Richard and Mary Eshelman 讲席教授（自2001年起）。他是比较公司法、国际法、宪法以及全球化治理领域的权威研究者，学术影响力横跨欧美学术界。担任阿什盖特出版社《全球化法律与政策》系列编辑（2010年至今），并曾为荷兰海牙国际化法律研究所、加拿大社科人文研究理事会等机构担任评审专家。</w:t>
      </w:r>
    </w:p>
    <w:p w14:paraId="75597EE2">
      <w:pPr>
        <w:spacing w:before="100" w:beforeAutospacing="1" w:after="100" w:afterAutospacing="1"/>
        <w:rPr>
          <w:rFonts w:hAnsi="宋体"/>
          <w:b/>
          <w:bCs/>
          <w:color w:val="000080"/>
          <w:sz w:val="24"/>
          <w:szCs w:val="24"/>
        </w:rPr>
      </w:pPr>
      <w:bookmarkStart w:id="0" w:name="OLE_LINK4"/>
      <w:bookmarkStart w:id="1" w:name="OLE_LINK5"/>
      <w:bookmarkStart w:id="2" w:name="OLE_LINK2"/>
      <w:bookmarkStart w:id="3" w:name="OLE_LINK1"/>
      <w:r>
        <w:rPr>
          <w:rFonts w:hAnsi="宋体"/>
          <w:b/>
          <w:bCs/>
          <w:color w:val="000080"/>
          <w:sz w:val="24"/>
          <w:szCs w:val="24"/>
        </w:rPr>
        <w:t>Profile</w:t>
      </w:r>
      <w:bookmarkEnd w:id="0"/>
      <w:bookmarkEnd w:id="1"/>
    </w:p>
    <w:bookmarkEnd w:id="2"/>
    <w:bookmarkEnd w:id="3"/>
    <w:p w14:paraId="75F93C8E">
      <w:pPr>
        <w:spacing w:after="160" w:line="276" w:lineRule="auto"/>
        <w:ind w:firstLine="360" w:firstLineChars="200"/>
        <w:rPr>
          <w:color w:val="000000"/>
          <w:sz w:val="18"/>
          <w:szCs w:val="18"/>
        </w:rPr>
      </w:pPr>
      <w:r>
        <w:rPr>
          <w:color w:val="000000"/>
          <w:sz w:val="18"/>
          <w:szCs w:val="18"/>
        </w:rPr>
        <w:t>Professor Larry Cat á Backer (born February 1, 1955) is an outstanding Cuban American legal scholar and currently serves as the W. Richard and Mary Eshelman Chair Professor at Pennsylvania State University School of Law and School of International Affairs (since 2001). He is an authoritative researcher in the fields of comparative corporate law, international law, constitutional law, and global governance, with academic influence spanning across the European and American academic communities. Served as the editor of the "Globalization Law and Policy" series at Ashgate Publishing House (2010 present), and has served as a review expert for institutions such as The Hague Institute of International Law in the Netherlands and the Canadian Council for Social Sciences and Humanities Research.</w:t>
      </w:r>
    </w:p>
    <w:tbl>
      <w:tblPr>
        <w:tblStyle w:val="3"/>
        <w:tblpPr w:leftFromText="180" w:rightFromText="180" w:vertAnchor="text" w:horzAnchor="margin" w:tblpX="74" w:tblpY="7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6"/>
        <w:gridCol w:w="4678"/>
      </w:tblGrid>
      <w:tr w14:paraId="1FE83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686" w:type="dxa"/>
            <w:shd w:val="clear" w:color="auto" w:fill="B8CCE4"/>
            <w:vAlign w:val="center"/>
          </w:tcPr>
          <w:p w14:paraId="6D72DFE2">
            <w:pPr>
              <w:spacing w:after="160"/>
              <w:rPr>
                <w:b/>
                <w:bCs/>
                <w:color w:val="1F497D"/>
                <w:sz w:val="15"/>
                <w:szCs w:val="15"/>
              </w:rPr>
            </w:pPr>
            <w:r>
              <w:rPr>
                <w:rFonts w:hAnsi="宋体"/>
                <w:b/>
                <w:bCs/>
                <w:color w:val="1F497D"/>
                <w:sz w:val="15"/>
                <w:szCs w:val="15"/>
              </w:rPr>
              <w:t>院系</w:t>
            </w:r>
            <w:r>
              <w:rPr>
                <w:b/>
                <w:bCs/>
                <w:color w:val="1F497D"/>
                <w:sz w:val="15"/>
                <w:szCs w:val="15"/>
              </w:rPr>
              <w:t xml:space="preserve"> </w:t>
            </w:r>
            <w:r>
              <w:rPr>
                <w:rFonts w:hint="eastAsia"/>
                <w:b/>
                <w:bCs/>
                <w:color w:val="1F497D"/>
                <w:sz w:val="15"/>
                <w:szCs w:val="15"/>
              </w:rPr>
              <w:t xml:space="preserve"> </w:t>
            </w:r>
            <w:r>
              <w:rPr>
                <w:b/>
                <w:bCs/>
                <w:color w:val="1F497D"/>
                <w:sz w:val="15"/>
                <w:szCs w:val="15"/>
              </w:rPr>
              <w:t>School</w:t>
            </w:r>
          </w:p>
        </w:tc>
        <w:tc>
          <w:tcPr>
            <w:tcW w:w="4678" w:type="dxa"/>
            <w:vAlign w:val="center"/>
          </w:tcPr>
          <w:p w14:paraId="4983410A">
            <w:pPr>
              <w:spacing w:after="160"/>
              <w:rPr>
                <w:color w:val="000000"/>
                <w:sz w:val="15"/>
                <w:szCs w:val="15"/>
              </w:rPr>
            </w:pPr>
            <w:r>
              <w:rPr>
                <w:rFonts w:hint="eastAsia" w:hAnsi="宋体" w:cs="宋体"/>
                <w:color w:val="000000"/>
                <w:sz w:val="15"/>
                <w:szCs w:val="15"/>
                <w:lang w:bidi="ar"/>
              </w:rPr>
              <w:t>中国法治战略研究院</w:t>
            </w:r>
            <w:r>
              <w:rPr>
                <w:color w:val="000000"/>
                <w:sz w:val="15"/>
                <w:szCs w:val="15"/>
                <w:lang w:bidi="ar"/>
              </w:rPr>
              <w:t xml:space="preserve"> Academy for China’s Strategy and Rule-of-Law</w:t>
            </w:r>
          </w:p>
        </w:tc>
      </w:tr>
      <w:tr w14:paraId="65B7B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686" w:type="dxa"/>
            <w:shd w:val="clear" w:color="auto" w:fill="B8CCE4"/>
            <w:vAlign w:val="center"/>
          </w:tcPr>
          <w:p w14:paraId="2570D195">
            <w:pPr>
              <w:spacing w:after="160"/>
              <w:rPr>
                <w:b/>
                <w:bCs/>
                <w:color w:val="1F497D"/>
                <w:sz w:val="15"/>
                <w:szCs w:val="15"/>
              </w:rPr>
            </w:pPr>
            <w:r>
              <w:rPr>
                <w:rFonts w:hAnsi="宋体"/>
                <w:b/>
                <w:bCs/>
                <w:color w:val="1F497D"/>
                <w:sz w:val="15"/>
                <w:szCs w:val="15"/>
              </w:rPr>
              <w:t>学科门类</w:t>
            </w:r>
            <w:r>
              <w:rPr>
                <w:b/>
                <w:bCs/>
                <w:color w:val="1F497D"/>
                <w:sz w:val="15"/>
                <w:szCs w:val="15"/>
              </w:rPr>
              <w:t xml:space="preserve"> Fields of Study</w:t>
            </w:r>
          </w:p>
        </w:tc>
        <w:tc>
          <w:tcPr>
            <w:tcW w:w="4678" w:type="dxa"/>
            <w:vAlign w:val="center"/>
          </w:tcPr>
          <w:p w14:paraId="4987CB00">
            <w:pPr>
              <w:spacing w:after="160"/>
              <w:rPr>
                <w:color w:val="000000"/>
                <w:sz w:val="15"/>
                <w:szCs w:val="15"/>
              </w:rPr>
            </w:pPr>
            <w:r>
              <w:rPr>
                <w:rFonts w:hint="eastAsia" w:hAnsi="宋体" w:cs="宋体"/>
                <w:color w:val="000000"/>
                <w:sz w:val="15"/>
                <w:szCs w:val="15"/>
                <w:lang w:bidi="ar"/>
              </w:rPr>
              <w:t>法学</w:t>
            </w:r>
            <w:r>
              <w:rPr>
                <w:color w:val="000000"/>
                <w:sz w:val="15"/>
                <w:szCs w:val="15"/>
                <w:lang w:bidi="ar"/>
              </w:rPr>
              <w:t xml:space="preserve"> Law</w:t>
            </w:r>
          </w:p>
        </w:tc>
      </w:tr>
      <w:tr w14:paraId="71AC4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686" w:type="dxa"/>
            <w:shd w:val="clear" w:color="auto" w:fill="B8CCE4"/>
            <w:vAlign w:val="center"/>
          </w:tcPr>
          <w:p w14:paraId="0AC11E1A">
            <w:pPr>
              <w:spacing w:after="160"/>
              <w:rPr>
                <w:b/>
                <w:bCs/>
                <w:color w:val="1F497D"/>
                <w:sz w:val="15"/>
                <w:szCs w:val="15"/>
              </w:rPr>
            </w:pPr>
            <w:r>
              <w:rPr>
                <w:rFonts w:hAnsi="宋体"/>
                <w:b/>
                <w:bCs/>
                <w:color w:val="1F497D"/>
                <w:sz w:val="15"/>
                <w:szCs w:val="15"/>
              </w:rPr>
              <w:t>所属一级学科名称</w:t>
            </w:r>
            <w:r>
              <w:rPr>
                <w:b/>
                <w:bCs/>
                <w:color w:val="1F497D"/>
                <w:sz w:val="15"/>
                <w:szCs w:val="15"/>
              </w:rPr>
              <w:t xml:space="preserve"> Disciplines</w:t>
            </w:r>
          </w:p>
        </w:tc>
        <w:tc>
          <w:tcPr>
            <w:tcW w:w="4678" w:type="dxa"/>
            <w:vAlign w:val="center"/>
          </w:tcPr>
          <w:p w14:paraId="185C79E5">
            <w:pPr>
              <w:spacing w:after="160"/>
              <w:rPr>
                <w:color w:val="000000"/>
                <w:sz w:val="15"/>
                <w:szCs w:val="15"/>
              </w:rPr>
            </w:pPr>
            <w:r>
              <w:rPr>
                <w:rFonts w:hint="eastAsia" w:hAnsi="宋体" w:cs="宋体"/>
                <w:color w:val="000000"/>
                <w:sz w:val="15"/>
                <w:szCs w:val="15"/>
                <w:lang w:bidi="ar"/>
              </w:rPr>
              <w:t>法学</w:t>
            </w:r>
            <w:r>
              <w:rPr>
                <w:color w:val="000000"/>
                <w:sz w:val="15"/>
                <w:szCs w:val="15"/>
                <w:lang w:bidi="ar"/>
              </w:rPr>
              <w:t xml:space="preserve"> Law</w:t>
            </w:r>
          </w:p>
        </w:tc>
      </w:tr>
      <w:tr w14:paraId="663C6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3686" w:type="dxa"/>
            <w:shd w:val="clear" w:color="auto" w:fill="B8CCE4"/>
            <w:vAlign w:val="center"/>
          </w:tcPr>
          <w:p w14:paraId="45ADC19E">
            <w:pPr>
              <w:spacing w:after="160"/>
              <w:rPr>
                <w:b/>
                <w:bCs/>
                <w:color w:val="1F497D"/>
                <w:sz w:val="15"/>
                <w:szCs w:val="15"/>
              </w:rPr>
            </w:pPr>
            <w:r>
              <w:rPr>
                <w:rFonts w:hAnsi="宋体"/>
                <w:b/>
                <w:bCs/>
                <w:color w:val="1F497D"/>
                <w:sz w:val="15"/>
                <w:szCs w:val="15"/>
              </w:rPr>
              <w:t>所属二级学科名称</w:t>
            </w:r>
            <w:r>
              <w:rPr>
                <w:b/>
                <w:bCs/>
                <w:color w:val="1F497D"/>
                <w:sz w:val="15"/>
                <w:szCs w:val="15"/>
              </w:rPr>
              <w:t xml:space="preserve"> Sub-Disciplines</w:t>
            </w:r>
          </w:p>
        </w:tc>
        <w:tc>
          <w:tcPr>
            <w:tcW w:w="4678" w:type="dxa"/>
            <w:vAlign w:val="center"/>
          </w:tcPr>
          <w:p w14:paraId="151CF62D">
            <w:pPr>
              <w:spacing w:after="160"/>
              <w:rPr>
                <w:color w:val="000000"/>
                <w:sz w:val="15"/>
                <w:szCs w:val="15"/>
              </w:rPr>
            </w:pPr>
            <w:r>
              <w:rPr>
                <w:rFonts w:hAnsi="宋体" w:cs="宋体"/>
                <w:color w:val="000000"/>
                <w:sz w:val="15"/>
                <w:szCs w:val="15"/>
                <w:lang w:bidi="ar"/>
              </w:rPr>
              <w:t>网络信息法学</w:t>
            </w:r>
            <w:r>
              <w:rPr>
                <w:rFonts w:hint="eastAsia" w:hAnsi="宋体" w:cs="宋体"/>
                <w:color w:val="000000"/>
                <w:sz w:val="15"/>
                <w:szCs w:val="15"/>
                <w:lang w:bidi="ar"/>
              </w:rPr>
              <w:t>（数字法、智能法）</w:t>
            </w:r>
            <w:r>
              <w:rPr>
                <w:color w:val="000000"/>
                <w:sz w:val="15"/>
                <w:szCs w:val="15"/>
                <w:lang w:bidi="ar"/>
              </w:rPr>
              <w:t xml:space="preserve"> Network Information Law</w:t>
            </w:r>
            <w:r>
              <w:rPr>
                <w:rFonts w:hint="eastAsia"/>
                <w:color w:val="000000"/>
                <w:sz w:val="15"/>
                <w:szCs w:val="15"/>
                <w:lang w:bidi="ar"/>
              </w:rPr>
              <w:t>（</w:t>
            </w:r>
            <w:r>
              <w:rPr>
                <w:color w:val="000000"/>
                <w:sz w:val="15"/>
                <w:szCs w:val="15"/>
                <w:lang w:bidi="ar"/>
              </w:rPr>
              <w:t>Digital Law, Intelligent Law</w:t>
            </w:r>
            <w:r>
              <w:rPr>
                <w:rFonts w:hint="eastAsia"/>
                <w:color w:val="000000"/>
                <w:sz w:val="15"/>
                <w:szCs w:val="15"/>
                <w:lang w:bidi="ar"/>
              </w:rPr>
              <w:t>）</w:t>
            </w:r>
          </w:p>
        </w:tc>
      </w:tr>
      <w:tr w14:paraId="40548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686" w:type="dxa"/>
            <w:shd w:val="clear" w:color="auto" w:fill="B8CCE4"/>
            <w:vAlign w:val="center"/>
          </w:tcPr>
          <w:p w14:paraId="6061776B">
            <w:pPr>
              <w:spacing w:after="160"/>
              <w:rPr>
                <w:rFonts w:hAnsi="宋体"/>
                <w:b/>
                <w:bCs/>
                <w:color w:val="1F497D"/>
                <w:sz w:val="15"/>
                <w:szCs w:val="15"/>
              </w:rPr>
            </w:pPr>
            <w:r>
              <w:rPr>
                <w:rFonts w:hint="eastAsia" w:hAnsi="宋体"/>
                <w:b/>
                <w:bCs/>
                <w:color w:val="1F497D"/>
                <w:sz w:val="15"/>
                <w:szCs w:val="15"/>
              </w:rPr>
              <w:t>先修课程</w:t>
            </w:r>
            <w:r>
              <w:rPr>
                <w:b/>
                <w:bCs/>
                <w:color w:val="1F497D"/>
                <w:sz w:val="15"/>
                <w:szCs w:val="15"/>
              </w:rPr>
              <w:t xml:space="preserve"> Prerequisites</w:t>
            </w:r>
          </w:p>
        </w:tc>
        <w:tc>
          <w:tcPr>
            <w:tcW w:w="4678" w:type="dxa"/>
            <w:vAlign w:val="center"/>
          </w:tcPr>
          <w:p w14:paraId="6693CA58">
            <w:pPr>
              <w:spacing w:after="160"/>
              <w:rPr>
                <w:rFonts w:hAnsi="宋体"/>
                <w:color w:val="000000"/>
                <w:sz w:val="15"/>
                <w:szCs w:val="15"/>
              </w:rPr>
            </w:pPr>
            <w:r>
              <w:rPr>
                <w:rFonts w:hAnsi="宋体"/>
                <w:color w:val="000000"/>
                <w:sz w:val="15"/>
                <w:szCs w:val="15"/>
                <w:lang w:bidi="ar"/>
              </w:rPr>
              <w:t>N/A</w:t>
            </w:r>
          </w:p>
        </w:tc>
      </w:tr>
      <w:tr w14:paraId="0230C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686" w:type="dxa"/>
            <w:shd w:val="clear" w:color="auto" w:fill="B8CCE4"/>
            <w:vAlign w:val="center"/>
          </w:tcPr>
          <w:p w14:paraId="07678676">
            <w:pPr>
              <w:spacing w:after="160" w:line="240" w:lineRule="exact"/>
              <w:rPr>
                <w:b/>
                <w:bCs/>
                <w:color w:val="1F497D"/>
                <w:sz w:val="15"/>
                <w:szCs w:val="15"/>
              </w:rPr>
            </w:pPr>
            <w:r>
              <w:rPr>
                <w:rFonts w:hAnsi="宋体"/>
                <w:b/>
                <w:bCs/>
                <w:color w:val="1F497D"/>
                <w:sz w:val="15"/>
                <w:szCs w:val="15"/>
              </w:rPr>
              <w:t>选课对象</w:t>
            </w:r>
            <w:r>
              <w:rPr>
                <w:b/>
                <w:bCs/>
                <w:color w:val="1F497D"/>
                <w:sz w:val="15"/>
                <w:szCs w:val="15"/>
              </w:rPr>
              <w:t xml:space="preserve"> Registration Recommendations</w:t>
            </w:r>
          </w:p>
        </w:tc>
        <w:tc>
          <w:tcPr>
            <w:tcW w:w="4678" w:type="dxa"/>
            <w:vAlign w:val="center"/>
          </w:tcPr>
          <w:p w14:paraId="1222DE05">
            <w:pPr>
              <w:spacing w:after="160"/>
              <w:rPr>
                <w:color w:val="000000"/>
                <w:sz w:val="15"/>
                <w:szCs w:val="15"/>
              </w:rPr>
            </w:pPr>
            <w:r>
              <w:rPr>
                <w:rFonts w:hint="eastAsia" w:hAnsi="宋体" w:cs="宋体"/>
                <w:color w:val="000000"/>
                <w:sz w:val="15"/>
                <w:szCs w:val="15"/>
                <w:lang w:bidi="ar"/>
              </w:rPr>
              <w:t>研究生</w:t>
            </w:r>
            <w:r>
              <w:rPr>
                <w:rFonts w:hAnsi="宋体"/>
                <w:color w:val="000000"/>
                <w:sz w:val="15"/>
                <w:szCs w:val="15"/>
                <w:lang w:bidi="ar"/>
              </w:rPr>
              <w:t xml:space="preserve"> </w:t>
            </w:r>
            <w:r>
              <w:rPr>
                <w:color w:val="000000"/>
                <w:sz w:val="15"/>
                <w:szCs w:val="15"/>
                <w:lang w:bidi="ar"/>
              </w:rPr>
              <w:t xml:space="preserve"> graduate students</w:t>
            </w:r>
          </w:p>
        </w:tc>
      </w:tr>
      <w:tr w14:paraId="23AD9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686" w:type="dxa"/>
            <w:shd w:val="clear" w:color="auto" w:fill="B8CCE4"/>
            <w:vAlign w:val="center"/>
          </w:tcPr>
          <w:p w14:paraId="7F7A046D">
            <w:pPr>
              <w:spacing w:after="160" w:line="240" w:lineRule="exact"/>
              <w:rPr>
                <w:rFonts w:hAnsi="宋体"/>
                <w:b/>
                <w:bCs/>
                <w:color w:val="1F497D"/>
                <w:sz w:val="15"/>
                <w:szCs w:val="15"/>
              </w:rPr>
            </w:pPr>
            <w:r>
              <w:rPr>
                <w:rFonts w:hAnsi="宋体"/>
                <w:b/>
                <w:bCs/>
                <w:color w:val="1F497D"/>
                <w:sz w:val="15"/>
                <w:szCs w:val="15"/>
              </w:rPr>
              <w:t>课时与学分 Lecture Hours &amp; Credits</w:t>
            </w:r>
          </w:p>
        </w:tc>
        <w:tc>
          <w:tcPr>
            <w:tcW w:w="4678" w:type="dxa"/>
            <w:vAlign w:val="center"/>
          </w:tcPr>
          <w:p w14:paraId="694A3E31">
            <w:pPr>
              <w:spacing w:after="160" w:line="240" w:lineRule="exact"/>
              <w:rPr>
                <w:rFonts w:hAnsi="宋体"/>
                <w:b/>
                <w:bCs/>
                <w:color w:val="000000"/>
                <w:sz w:val="15"/>
                <w:szCs w:val="15"/>
              </w:rPr>
            </w:pPr>
            <w:r>
              <w:rPr>
                <w:rFonts w:hAnsi="宋体"/>
                <w:bCs/>
                <w:color w:val="000000"/>
                <w:sz w:val="15"/>
                <w:szCs w:val="15"/>
                <w:lang w:bidi="ar"/>
              </w:rPr>
              <w:t>32</w:t>
            </w:r>
            <w:r>
              <w:rPr>
                <w:rFonts w:hint="eastAsia" w:hAnsi="宋体" w:cs="宋体"/>
                <w:bCs/>
                <w:color w:val="000000"/>
                <w:sz w:val="15"/>
                <w:szCs w:val="15"/>
                <w:lang w:bidi="ar"/>
              </w:rPr>
              <w:t>学时；</w:t>
            </w:r>
            <w:r>
              <w:rPr>
                <w:rFonts w:hAnsi="宋体"/>
                <w:bCs/>
                <w:color w:val="000000"/>
                <w:sz w:val="15"/>
                <w:szCs w:val="15"/>
                <w:lang w:bidi="ar"/>
              </w:rPr>
              <w:t>2</w:t>
            </w:r>
            <w:r>
              <w:rPr>
                <w:rFonts w:hint="eastAsia" w:hAnsi="宋体" w:cs="宋体"/>
                <w:bCs/>
                <w:color w:val="000000"/>
                <w:sz w:val="15"/>
                <w:szCs w:val="15"/>
                <w:lang w:bidi="ar"/>
              </w:rPr>
              <w:t>学分</w:t>
            </w:r>
            <w:r>
              <w:rPr>
                <w:rFonts w:hAnsi="宋体"/>
                <w:b/>
                <w:color w:val="000000"/>
                <w:sz w:val="15"/>
                <w:szCs w:val="15"/>
                <w:lang w:bidi="ar"/>
              </w:rPr>
              <w:t xml:space="preserve"> </w:t>
            </w:r>
            <w:r>
              <w:rPr>
                <w:color w:val="000000"/>
                <w:sz w:val="15"/>
                <w:szCs w:val="15"/>
                <w:lang w:bidi="ar"/>
              </w:rPr>
              <w:t>32Lecture Hours; 2Credits</w:t>
            </w:r>
          </w:p>
        </w:tc>
      </w:tr>
      <w:tr w14:paraId="58D00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3686" w:type="dxa"/>
            <w:shd w:val="clear" w:color="auto" w:fill="B8CCE4"/>
            <w:vAlign w:val="center"/>
          </w:tcPr>
          <w:p w14:paraId="45DDB3A1">
            <w:pPr>
              <w:spacing w:after="160"/>
              <w:rPr>
                <w:b/>
                <w:bCs/>
                <w:color w:val="1F497D"/>
                <w:sz w:val="15"/>
                <w:szCs w:val="15"/>
              </w:rPr>
            </w:pPr>
            <w:r>
              <w:rPr>
                <w:rFonts w:hint="eastAsia" w:hAnsi="宋体"/>
                <w:b/>
                <w:bCs/>
                <w:color w:val="1F497D"/>
                <w:sz w:val="15"/>
                <w:szCs w:val="15"/>
              </w:rPr>
              <w:t>授课语言</w:t>
            </w:r>
            <w:r>
              <w:rPr>
                <w:b/>
                <w:bCs/>
                <w:color w:val="1F497D"/>
                <w:sz w:val="15"/>
                <w:szCs w:val="15"/>
              </w:rPr>
              <w:t xml:space="preserve"> </w:t>
            </w:r>
            <w:r>
              <w:rPr>
                <w:rFonts w:hint="eastAsia"/>
                <w:b/>
                <w:bCs/>
                <w:color w:val="1F497D"/>
                <w:sz w:val="15"/>
                <w:szCs w:val="15"/>
              </w:rPr>
              <w:t>Language taught</w:t>
            </w:r>
          </w:p>
        </w:tc>
        <w:tc>
          <w:tcPr>
            <w:tcW w:w="4678" w:type="dxa"/>
            <w:vAlign w:val="center"/>
          </w:tcPr>
          <w:p w14:paraId="1F9A8A23">
            <w:pPr>
              <w:spacing w:after="160"/>
              <w:rPr>
                <w:color w:val="000000"/>
                <w:sz w:val="15"/>
                <w:szCs w:val="15"/>
              </w:rPr>
            </w:pPr>
            <w:r>
              <w:rPr>
                <w:rFonts w:hint="eastAsia" w:cs="宋体"/>
                <w:color w:val="000000"/>
                <w:sz w:val="15"/>
                <w:szCs w:val="15"/>
                <w:lang w:bidi="ar"/>
              </w:rPr>
              <w:t>英语</w:t>
            </w:r>
            <w:r>
              <w:rPr>
                <w:color w:val="000000"/>
                <w:sz w:val="15"/>
                <w:szCs w:val="15"/>
                <w:lang w:bidi="ar"/>
              </w:rPr>
              <w:t xml:space="preserve"> English</w:t>
            </w:r>
          </w:p>
        </w:tc>
      </w:tr>
    </w:tbl>
    <w:p w14:paraId="5E9BBF7A">
      <w:pPr>
        <w:spacing w:before="100" w:beforeAutospacing="1" w:after="100" w:afterAutospacing="1"/>
        <w:rPr>
          <w:rFonts w:hAnsi="宋体"/>
          <w:b/>
          <w:bCs/>
          <w:color w:val="000080"/>
          <w:sz w:val="24"/>
          <w:szCs w:val="24"/>
        </w:rPr>
      </w:pPr>
      <w:r>
        <w:rPr>
          <w:rFonts w:hint="eastAsia" w:hAnsi="宋体"/>
          <w:b/>
          <w:bCs/>
          <w:color w:val="000080"/>
          <w:sz w:val="24"/>
          <w:szCs w:val="24"/>
        </w:rPr>
        <w:t xml:space="preserve">基本信息 </w:t>
      </w:r>
      <w:r>
        <w:rPr>
          <w:rFonts w:hAnsi="宋体"/>
          <w:b/>
          <w:bCs/>
          <w:color w:val="000080"/>
          <w:sz w:val="24"/>
          <w:szCs w:val="24"/>
        </w:rPr>
        <w:t>Basic information</w:t>
      </w:r>
    </w:p>
    <w:p w14:paraId="72CC7B6D">
      <w:pPr>
        <w:spacing w:before="100" w:beforeAutospacing="1" w:after="100" w:afterAutospacing="1"/>
        <w:rPr>
          <w:rFonts w:hAnsi="宋体"/>
          <w:b/>
          <w:bCs/>
          <w:color w:val="000080"/>
          <w:sz w:val="24"/>
          <w:szCs w:val="24"/>
        </w:rPr>
      </w:pPr>
      <w:r>
        <w:rPr>
          <w:rFonts w:hAnsi="宋体"/>
          <w:b/>
          <w:bCs/>
          <w:color w:val="000080"/>
          <w:sz w:val="28"/>
          <w:szCs w:val="28"/>
        </w:rPr>
        <w:br w:type="page"/>
      </w:r>
      <w:r>
        <w:rPr>
          <w:rFonts w:hAnsi="宋体"/>
          <w:b/>
          <w:bCs/>
          <w:color w:val="000080"/>
          <w:sz w:val="24"/>
          <w:szCs w:val="24"/>
        </w:rPr>
        <w:t>课程目标</w:t>
      </w:r>
    </w:p>
    <w:p w14:paraId="51AF5A29">
      <w:pPr>
        <w:ind w:firstLine="360" w:firstLineChars="200"/>
        <w:rPr>
          <w:sz w:val="18"/>
          <w:szCs w:val="18"/>
        </w:rPr>
      </w:pPr>
      <w:r>
        <w:rPr>
          <w:rFonts w:hAnsi="宋体" w:cs="宋体"/>
          <w:color w:val="000000"/>
          <w:sz w:val="18"/>
          <w:szCs w:val="18"/>
          <w:lang w:bidi="ar"/>
        </w:rPr>
        <w:t>课程将引领华政学子剖析全球AI治理中最具张力的两种模式：中国“国家主导、发展与安全并重”的治理路径，与美国“市场驱动、创新优先” 的治理逻辑之间的核心差异。我们将结合《生成式AI服务管理暂行办法》与美国《赢得AI竞赛：美国AI行动计划》等最新政策，从治理理念、法律框架、伦理标准及全球战略维度系统比较，关注数据跨境流动、算法治理等涉外法治前沿议题，为参与AI规则制定与国际对话奠定基础。</w:t>
      </w:r>
    </w:p>
    <w:p w14:paraId="79B00D25">
      <w:pPr>
        <w:ind w:firstLine="360" w:firstLineChars="200"/>
        <w:rPr>
          <w:sz w:val="18"/>
          <w:szCs w:val="18"/>
        </w:rPr>
      </w:pPr>
    </w:p>
    <w:p w14:paraId="70C83B33">
      <w:pPr>
        <w:spacing w:before="100" w:beforeAutospacing="1" w:after="100" w:afterAutospacing="1"/>
        <w:rPr>
          <w:b/>
          <w:bCs/>
          <w:color w:val="000080"/>
          <w:sz w:val="24"/>
          <w:szCs w:val="24"/>
        </w:rPr>
      </w:pPr>
      <w:r>
        <w:rPr>
          <w:b/>
          <w:bCs/>
          <w:color w:val="000080"/>
          <w:sz w:val="24"/>
          <w:szCs w:val="24"/>
        </w:rPr>
        <w:t>Learning Goals</w:t>
      </w:r>
    </w:p>
    <w:p w14:paraId="5C342C6E">
      <w:pPr>
        <w:spacing w:after="160"/>
        <w:ind w:firstLine="360" w:firstLineChars="200"/>
        <w:rPr>
          <w:color w:val="000000"/>
          <w:kern w:val="0"/>
          <w:sz w:val="18"/>
          <w:szCs w:val="18"/>
        </w:rPr>
      </w:pPr>
      <w:bookmarkStart w:id="4" w:name="OLE_LINK3"/>
      <w:r>
        <w:rPr>
          <w:color w:val="000000"/>
          <w:sz w:val="18"/>
          <w:szCs w:val="18"/>
          <w:lang w:bidi="ar"/>
        </w:rPr>
        <w:t>This two-week course, "Comparative AI Governance: China and the United States," guides East China University of Political Science and Law (ECUPL) students to deeply analyze the two most contrasting governance models in global AI regulation. The course focuses on the core differences between China's state-led pathway emphasizing "development and security in tandem" and the United States' market-driven logic prioritizing "innovation first." It systematically compares the governance philosophies, legal frameworks, ethical standards, and global strategies by examining key policy documents, such as China's "Interim Measures for the Management of Generative Artificial Intelligence Services" and the US "Plan to Win the Race in AI: The American AI Initiative." Special attention is given to frontier issues in foreign-related law, such as cross-border data flow and algorithmic governance. The course aims to cultivate students' cross-cultural policy analysis skills and comparative legal perspective for the digital age.</w:t>
      </w:r>
    </w:p>
    <w:p w14:paraId="7E97E01A">
      <w:pPr>
        <w:spacing w:after="160"/>
        <w:ind w:firstLine="360" w:firstLineChars="200"/>
        <w:rPr>
          <w:color w:val="000000"/>
          <w:kern w:val="0"/>
          <w:sz w:val="18"/>
          <w:szCs w:val="18"/>
        </w:rPr>
      </w:pPr>
    </w:p>
    <w:bookmarkEnd w:id="4"/>
    <w:p w14:paraId="38E0B4CA">
      <w:pPr>
        <w:spacing w:before="100" w:beforeAutospacing="1" w:after="100" w:afterAutospacing="1"/>
        <w:rPr>
          <w:rFonts w:ascii="仿宋_GB2312" w:hAnsi="宋体" w:eastAsia="仿宋_GB2312" w:cs="宋体"/>
          <w:kern w:val="0"/>
          <w:sz w:val="24"/>
          <w:szCs w:val="24"/>
        </w:rPr>
      </w:pPr>
      <w:r>
        <w:rPr>
          <w:rFonts w:hint="eastAsia" w:hAnsi="宋体"/>
          <w:b/>
          <w:bCs/>
          <w:color w:val="000080"/>
          <w:sz w:val="24"/>
          <w:szCs w:val="24"/>
        </w:rPr>
        <w:t>课程内容</w:t>
      </w:r>
    </w:p>
    <w:p w14:paraId="5FC38C52">
      <w:pPr>
        <w:ind w:firstLine="360" w:firstLineChars="200"/>
        <w:rPr>
          <w:rFonts w:hAnsi="宋体"/>
          <w:color w:val="000000"/>
          <w:sz w:val="18"/>
          <w:szCs w:val="18"/>
        </w:rPr>
      </w:pPr>
      <w:r>
        <w:rPr>
          <w:rFonts w:hint="eastAsia" w:hAnsi="宋体"/>
          <w:color w:val="000000"/>
          <w:sz w:val="18"/>
          <w:szCs w:val="18"/>
        </w:rPr>
        <w:t>这门为期两周的《中美人工智能治理比较》课程，将引领华政学子深入剖析全球人工智能治理中最具张力的两种模式。课程聚焦于中国“国家主导、发展与安全并重” 的治理路径，与美国“市场驱动、创新优先” 的治理逻辑之间的核心差异。</w:t>
      </w:r>
    </w:p>
    <w:p w14:paraId="685C4A94">
      <w:pPr>
        <w:ind w:firstLine="360" w:firstLineChars="200"/>
        <w:rPr>
          <w:rFonts w:hint="eastAsia" w:hAnsi="宋体"/>
          <w:color w:val="000000"/>
          <w:sz w:val="18"/>
          <w:szCs w:val="18"/>
        </w:rPr>
      </w:pPr>
      <w:r>
        <w:rPr>
          <w:rFonts w:hint="eastAsia" w:hAnsi="宋体"/>
          <w:color w:val="000000"/>
          <w:sz w:val="18"/>
          <w:szCs w:val="18"/>
        </w:rPr>
        <w:t>1. 全球人工智能治理格局与中美模式概述（3学时）</w:t>
      </w:r>
    </w:p>
    <w:p w14:paraId="37A60BC6">
      <w:pPr>
        <w:ind w:firstLine="360" w:firstLineChars="200"/>
        <w:rPr>
          <w:rFonts w:hint="eastAsia" w:hAnsi="宋体"/>
          <w:color w:val="000000"/>
          <w:sz w:val="18"/>
          <w:szCs w:val="18"/>
        </w:rPr>
      </w:pPr>
      <w:r>
        <w:rPr>
          <w:rFonts w:hint="eastAsia" w:hAnsi="宋体"/>
          <w:color w:val="000000"/>
          <w:sz w:val="18"/>
          <w:szCs w:val="18"/>
        </w:rPr>
        <w:t>2. 中国人工智能治理：国家主导框架、法律制度与伦理原则（4学时）</w:t>
      </w:r>
    </w:p>
    <w:p w14:paraId="781E7601">
      <w:pPr>
        <w:ind w:firstLine="360" w:firstLineChars="200"/>
        <w:rPr>
          <w:rFonts w:hint="eastAsia" w:hAnsi="宋体"/>
          <w:color w:val="000000"/>
          <w:sz w:val="18"/>
          <w:szCs w:val="18"/>
        </w:rPr>
      </w:pPr>
      <w:r>
        <w:rPr>
          <w:rFonts w:hint="eastAsia" w:hAnsi="宋体"/>
          <w:color w:val="000000"/>
          <w:sz w:val="18"/>
          <w:szCs w:val="18"/>
        </w:rPr>
        <w:t>3. 美国人工智能治理：市场驱动逻辑、政策文本与监管体系（4学时）</w:t>
      </w:r>
    </w:p>
    <w:p w14:paraId="43A204B7">
      <w:pPr>
        <w:ind w:firstLine="360" w:firstLineChars="200"/>
        <w:rPr>
          <w:rFonts w:hint="eastAsia" w:hAnsi="宋体"/>
          <w:color w:val="000000"/>
          <w:sz w:val="18"/>
          <w:szCs w:val="18"/>
        </w:rPr>
      </w:pPr>
      <w:r>
        <w:rPr>
          <w:rFonts w:hint="eastAsia" w:hAnsi="宋体"/>
          <w:color w:val="000000"/>
          <w:sz w:val="18"/>
          <w:szCs w:val="18"/>
        </w:rPr>
        <w:t>4. 中美人工智能治理的比较分析：理念、制度与战略差异（3学时）</w:t>
      </w:r>
    </w:p>
    <w:p w14:paraId="758D44D8">
      <w:pPr>
        <w:ind w:firstLine="360" w:firstLineChars="200"/>
        <w:rPr>
          <w:color w:val="FF0000"/>
          <w:sz w:val="18"/>
          <w:szCs w:val="18"/>
        </w:rPr>
      </w:pPr>
      <w:r>
        <w:rPr>
          <w:rFonts w:hint="eastAsia" w:hAnsi="宋体"/>
          <w:color w:val="000000"/>
          <w:sz w:val="18"/>
          <w:szCs w:val="18"/>
        </w:rPr>
        <w:t>5. 数据跨境流动、算法透明度与涉外法治专题讨论（4学时）</w:t>
      </w:r>
      <w:bookmarkStart w:id="5" w:name="_GoBack"/>
      <w:bookmarkEnd w:id="5"/>
    </w:p>
    <w:p w14:paraId="34D0EF32">
      <w:pPr>
        <w:spacing w:before="100" w:beforeAutospacing="1" w:after="100" w:afterAutospacing="1"/>
        <w:jc w:val="left"/>
        <w:rPr>
          <w:rFonts w:hAnsi="宋体"/>
          <w:b/>
          <w:bCs/>
          <w:color w:val="000080"/>
          <w:sz w:val="24"/>
          <w:szCs w:val="24"/>
        </w:rPr>
      </w:pPr>
      <w:r>
        <w:rPr>
          <w:rFonts w:hint="eastAsia" w:hAnsi="宋体"/>
          <w:b/>
          <w:bCs/>
          <w:color w:val="000080"/>
          <w:sz w:val="24"/>
          <w:szCs w:val="24"/>
        </w:rPr>
        <w:t>Content</w:t>
      </w:r>
    </w:p>
    <w:p w14:paraId="441DB233">
      <w:pPr>
        <w:spacing w:after="160"/>
        <w:ind w:firstLine="360" w:firstLineChars="200"/>
        <w:rPr>
          <w:color w:val="000000"/>
          <w:sz w:val="18"/>
          <w:szCs w:val="18"/>
        </w:rPr>
      </w:pPr>
      <w:r>
        <w:rPr>
          <w:color w:val="000000"/>
          <w:sz w:val="18"/>
          <w:szCs w:val="18"/>
        </w:rPr>
        <w:t>This two-week course "Comparison of Artificial Intelligence Governance between China and the United States" will lead Huazheng students to deeply analyze the two most dynamic models of global artificial intelligence governance. The course focuses on the core differences between China's governance path of "state leadership, equal emphasis on development and security" and the governance logic of "market driven, innovation first" in the United States.</w:t>
      </w:r>
    </w:p>
    <w:p w14:paraId="424A322F">
      <w:pPr>
        <w:spacing w:after="160"/>
        <w:ind w:firstLine="360" w:firstLineChars="200"/>
        <w:rPr>
          <w:color w:val="000000"/>
          <w:sz w:val="18"/>
          <w:szCs w:val="18"/>
        </w:rPr>
      </w:pPr>
      <w:r>
        <w:rPr>
          <w:color w:val="000000"/>
          <w:sz w:val="18"/>
          <w:szCs w:val="18"/>
        </w:rPr>
        <w:t>1. Overview of the Global Artificial Intelligence Governance Landscape and the China US Model (3 credit hours)</w:t>
      </w:r>
    </w:p>
    <w:p w14:paraId="3373FEE1">
      <w:pPr>
        <w:spacing w:after="160"/>
        <w:ind w:firstLine="360" w:firstLineChars="200"/>
        <w:rPr>
          <w:color w:val="000000"/>
          <w:sz w:val="18"/>
          <w:szCs w:val="18"/>
        </w:rPr>
      </w:pPr>
      <w:r>
        <w:rPr>
          <w:color w:val="000000"/>
          <w:sz w:val="18"/>
          <w:szCs w:val="18"/>
        </w:rPr>
        <w:t>2. Governance of Artificial Intelligence in China: State led Framework, Legal System, and Ethical Principles (4 credit hours)</w:t>
      </w:r>
    </w:p>
    <w:p w14:paraId="0405D45C">
      <w:pPr>
        <w:spacing w:after="160"/>
        <w:ind w:firstLine="360" w:firstLineChars="200"/>
        <w:rPr>
          <w:color w:val="000000"/>
          <w:sz w:val="18"/>
          <w:szCs w:val="18"/>
        </w:rPr>
      </w:pPr>
      <w:r>
        <w:rPr>
          <w:color w:val="000000"/>
          <w:sz w:val="18"/>
          <w:szCs w:val="18"/>
        </w:rPr>
        <w:t>3. Artificial Intelligence Governance in the United States: Market Driven Logic, Policy Texts, and Regulatory Systems (4 credit hours)</w:t>
      </w:r>
    </w:p>
    <w:p w14:paraId="6EB07FFF">
      <w:pPr>
        <w:spacing w:after="160"/>
        <w:ind w:firstLine="360" w:firstLineChars="200"/>
        <w:rPr>
          <w:color w:val="000000"/>
          <w:sz w:val="18"/>
          <w:szCs w:val="18"/>
        </w:rPr>
      </w:pPr>
      <w:r>
        <w:rPr>
          <w:color w:val="000000"/>
          <w:sz w:val="18"/>
          <w:szCs w:val="18"/>
        </w:rPr>
        <w:t>4. Comparative Analysis of Artificial Intelligence Governance between China and the United States: Differences in Concepts, Institutions, and Strategies (3 credit hours)</w:t>
      </w:r>
    </w:p>
    <w:p w14:paraId="2169A014">
      <w:pPr>
        <w:spacing w:after="160"/>
        <w:ind w:firstLine="360" w:firstLineChars="200"/>
      </w:pPr>
      <w:r>
        <w:rPr>
          <w:color w:val="000000"/>
          <w:sz w:val="18"/>
          <w:szCs w:val="18"/>
        </w:rPr>
        <w:t>5. Special Discussion on Cross border Data Flow, Algorithm Transparency, and Foreign Rule of Law (4 credit hours)</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7A"/>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9E0C0">
    <w:pPr>
      <w:pStyle w:val="2"/>
      <w:jc w:val="right"/>
    </w:pPr>
    <w:r>
      <w:fldChar w:fldCharType="begin"/>
    </w:r>
    <w:r>
      <w:instrText xml:space="preserve"> PAGE   \* MERGEFORMAT </w:instrText>
    </w:r>
    <w:r>
      <w:fldChar w:fldCharType="separate"/>
    </w:r>
    <w:r>
      <w:rPr>
        <w:lang w:val="zh-CN"/>
      </w:rPr>
      <w:t>4</w:t>
    </w:r>
    <w:r>
      <w:fldChar w:fldCharType="end"/>
    </w:r>
  </w:p>
  <w:p w14:paraId="6589BDA8">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B81E07"/>
    <w:rsid w:val="000C10D7"/>
    <w:rsid w:val="00194CD4"/>
    <w:rsid w:val="001C2BDC"/>
    <w:rsid w:val="002C7DBB"/>
    <w:rsid w:val="003923C6"/>
    <w:rsid w:val="00421209"/>
    <w:rsid w:val="007818F6"/>
    <w:rsid w:val="00835556"/>
    <w:rsid w:val="008F0B32"/>
    <w:rsid w:val="009D54AE"/>
    <w:rsid w:val="00A70323"/>
    <w:rsid w:val="00A85E6F"/>
    <w:rsid w:val="00D228F1"/>
    <w:rsid w:val="00ED4360"/>
    <w:rsid w:val="20034D11"/>
    <w:rsid w:val="29F04724"/>
    <w:rsid w:val="50B81E07"/>
    <w:rsid w:val="69E3037E"/>
    <w:rsid w:val="77B00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1288</Words>
  <Characters>3741</Characters>
  <Lines>32</Lines>
  <Paragraphs>9</Paragraphs>
  <TotalTime>4</TotalTime>
  <ScaleCrop>false</ScaleCrop>
  <LinksUpToDate>false</LinksUpToDate>
  <CharactersWithSpaces>4215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2020-12-29T08:40:00Z</dcterms:created>
  <dc:creator>田华</dc:creator>
  <cp:lastModifiedBy>张震宇</cp:lastModifiedBy>
  <dcterms:modified xsi:type="dcterms:W3CDTF">2026-03-11T02:27:55Z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602D267BE1724A31A29578BE8FC427EB_13</vt:lpwstr>
  </property>
  <property fmtid="{D5CDD505-2E9C-101B-9397-08002B2CF9AE}" pid="4" name="KSOTemplateDocerSaveRecord">
    <vt:lpwstr>eyJoZGlkIjoiMzE5YjIzM2JkNmJmMTAxNzJkN2FkNmI5M2Y5Yjc2Y2QiLCJ1c2VySWQiOiI3Mjk1Mjc1MzUifQ==</vt:lpwstr>
  </property>
</Properties>
</file>